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8EB" w14:textId="44194107" w:rsidR="004F2F40" w:rsidRPr="00EB3371" w:rsidRDefault="004D1C53" w:rsidP="004F2F40">
      <w:pPr>
        <w:rPr>
          <w:b/>
          <w:sz w:val="28"/>
          <w:szCs w:val="28"/>
          <w:lang w:val="en-GB"/>
        </w:rPr>
      </w:pPr>
      <w:r w:rsidRPr="00EB3371">
        <w:rPr>
          <w:b/>
          <w:sz w:val="28"/>
          <w:szCs w:val="28"/>
          <w:lang w:val="en-GB"/>
        </w:rPr>
        <w:t xml:space="preserve">Special contractual terms and conditions under </w:t>
      </w:r>
      <w:r w:rsidR="00550AC9" w:rsidRPr="00EB3371">
        <w:rPr>
          <w:b/>
          <w:sz w:val="28"/>
          <w:szCs w:val="28"/>
          <w:lang w:val="en-GB"/>
        </w:rPr>
        <w:t xml:space="preserve">the </w:t>
      </w:r>
      <w:r w:rsidRPr="00EB3371">
        <w:rPr>
          <w:b/>
          <w:sz w:val="28"/>
          <w:szCs w:val="28"/>
          <w:lang w:val="en-GB"/>
        </w:rPr>
        <w:t xml:space="preserve">award procedure </w:t>
      </w:r>
      <w:r w:rsidR="00EB3371" w:rsidRPr="00EB3371">
        <w:rPr>
          <w:b/>
          <w:sz w:val="28"/>
          <w:szCs w:val="28"/>
          <w:u w:val="single"/>
        </w:rPr>
        <w:t>7000009677 Metrology Laboratory Equipment for Libya</w:t>
      </w:r>
      <w:r w:rsidR="00EB3371" w:rsidRPr="00EB3371">
        <w:rPr>
          <w:b/>
          <w:sz w:val="28"/>
          <w:szCs w:val="28"/>
        </w:rPr>
        <w:t xml:space="preserve"> </w:t>
      </w:r>
      <w:r w:rsidRPr="00EB3371">
        <w:rPr>
          <w:b/>
          <w:sz w:val="28"/>
          <w:szCs w:val="28"/>
          <w:lang w:val="en-GB"/>
        </w:rPr>
        <w:t>of the Deutsche Gesellschaft für Internationale Zusammenarbeit (GIZ) GmbH</w:t>
      </w:r>
    </w:p>
    <w:p w14:paraId="248034DE" w14:textId="77777777" w:rsidR="00717481" w:rsidRPr="00550AC9" w:rsidRDefault="00717481" w:rsidP="00E31450">
      <w:pPr>
        <w:jc w:val="both"/>
        <w:rPr>
          <w:rStyle w:val="Seitenzahl"/>
          <w:lang w:val="en-GB"/>
        </w:rPr>
      </w:pPr>
    </w:p>
    <w:p w14:paraId="6578E5CA" w14:textId="77777777" w:rsidR="004F2F40" w:rsidRPr="00550AC9" w:rsidRDefault="004D1C53" w:rsidP="00E31450">
      <w:pPr>
        <w:jc w:val="both"/>
        <w:rPr>
          <w:rStyle w:val="Seitenzahl"/>
          <w:lang w:val="en-GB"/>
        </w:rPr>
      </w:pPr>
      <w:r w:rsidRPr="00550AC9">
        <w:rPr>
          <w:rStyle w:val="Seitenzahl"/>
          <w:lang w:val="en-GB"/>
        </w:rPr>
        <w:t xml:space="preserve">The following special contractual terms and conditions apply when </w:t>
      </w:r>
      <w:r w:rsidR="009D3954" w:rsidRPr="00550AC9">
        <w:rPr>
          <w:rStyle w:val="Seitenzahl"/>
          <w:lang w:val="en-GB"/>
        </w:rPr>
        <w:t xml:space="preserve">preparing </w:t>
      </w:r>
      <w:r w:rsidRPr="00550AC9">
        <w:rPr>
          <w:rStyle w:val="Seitenzahl"/>
          <w:lang w:val="en-GB"/>
        </w:rPr>
        <w:t>bids and providing the goods/services covered by the present contract award procedure:</w:t>
      </w:r>
    </w:p>
    <w:p w14:paraId="6A14589D" w14:textId="77777777" w:rsidR="00717481" w:rsidRPr="00550AC9" w:rsidRDefault="00717481" w:rsidP="00E31450">
      <w:pPr>
        <w:jc w:val="both"/>
        <w:rPr>
          <w:rStyle w:val="Seitenzahl"/>
          <w:lang w:val="en-GB"/>
        </w:rPr>
      </w:pPr>
    </w:p>
    <w:p w14:paraId="29985DE5" w14:textId="227A6B45" w:rsidR="00717481" w:rsidRPr="00550AC9" w:rsidRDefault="004D1C53" w:rsidP="00D66DBB">
      <w:pPr>
        <w:jc w:val="both"/>
        <w:rPr>
          <w:rStyle w:val="Seitenzahl"/>
          <w:lang w:val="en-GB"/>
        </w:rPr>
      </w:pPr>
      <w:r w:rsidRPr="00550AC9">
        <w:rPr>
          <w:rStyle w:val="Seitenzahl"/>
          <w:lang w:val="en-GB"/>
        </w:rPr>
        <w:t xml:space="preserve">Aside from the bill of quantities indicating prices, please include in your submission a bid </w:t>
      </w:r>
      <w:r w:rsidR="00550AC9">
        <w:rPr>
          <w:rStyle w:val="Seitenzahl"/>
          <w:lang w:val="en-GB"/>
        </w:rPr>
        <w:t>in</w:t>
      </w:r>
      <w:r w:rsidRPr="00550AC9">
        <w:rPr>
          <w:rStyle w:val="Seitenzahl"/>
          <w:lang w:val="en-GB"/>
        </w:rPr>
        <w:t xml:space="preserve"> PDF </w:t>
      </w:r>
      <w:r w:rsidR="00550AC9">
        <w:rPr>
          <w:rStyle w:val="Seitenzahl"/>
          <w:lang w:val="en-GB"/>
        </w:rPr>
        <w:t>format</w:t>
      </w:r>
      <w:r w:rsidRPr="00550AC9">
        <w:rPr>
          <w:rStyle w:val="Seitenzahl"/>
          <w:lang w:val="en-GB"/>
        </w:rPr>
        <w:t xml:space="preserve">. </w:t>
      </w:r>
      <w:r w:rsidRPr="00550AC9">
        <w:rPr>
          <w:lang w:val="en-GB"/>
        </w:rPr>
        <w:t xml:space="preserve">The bid should indicate for each item the manufacturer and the </w:t>
      </w:r>
      <w:r w:rsidR="00403E20">
        <w:rPr>
          <w:lang w:val="en-GB"/>
        </w:rPr>
        <w:t>article description</w:t>
      </w:r>
      <w:r w:rsidR="00550AC9">
        <w:rPr>
          <w:lang w:val="en-GB"/>
        </w:rPr>
        <w:t xml:space="preserve"> </w:t>
      </w:r>
      <w:r w:rsidRPr="00550AC9">
        <w:rPr>
          <w:lang w:val="en-GB"/>
        </w:rPr>
        <w:t xml:space="preserve"> in accordance with the terms of reference, the unit price and </w:t>
      </w:r>
      <w:r w:rsidR="00550AC9">
        <w:rPr>
          <w:lang w:val="en-GB"/>
        </w:rPr>
        <w:t xml:space="preserve">the </w:t>
      </w:r>
      <w:r w:rsidRPr="00550AC9">
        <w:rPr>
          <w:lang w:val="en-GB"/>
        </w:rPr>
        <w:t>total price, the prices of individual potential lots, packaging and shipping costs as indicated in the delivery clause and for the complete service offered</w:t>
      </w:r>
      <w:r w:rsidR="00550AC9">
        <w:rPr>
          <w:lang w:val="en-GB"/>
        </w:rPr>
        <w:t>,</w:t>
      </w:r>
      <w:r w:rsidRPr="00550AC9">
        <w:rPr>
          <w:lang w:val="en-GB"/>
        </w:rPr>
        <w:t xml:space="preserve"> and payment terms and delivery dates (see also terms and conditions for application).</w:t>
      </w:r>
    </w:p>
    <w:p w14:paraId="6DB62FC0" w14:textId="2F467035" w:rsidR="00601D45" w:rsidRDefault="00601D45" w:rsidP="00E31450">
      <w:pPr>
        <w:jc w:val="both"/>
        <w:rPr>
          <w:rStyle w:val="Seitenzahl"/>
          <w:lang w:val="en-GB"/>
        </w:rPr>
      </w:pPr>
    </w:p>
    <w:p w14:paraId="2AB5CC8D" w14:textId="2D177660" w:rsidR="00C126B5" w:rsidRPr="009D1D65" w:rsidRDefault="00C126B5" w:rsidP="00C126B5">
      <w:pPr>
        <w:jc w:val="both"/>
        <w:rPr>
          <w:rStyle w:val="Seitenzahl"/>
          <w:b/>
          <w:bCs/>
        </w:rPr>
      </w:pPr>
      <w:r>
        <w:rPr>
          <w:rStyle w:val="Seitenzahl"/>
          <w:b/>
        </w:rPr>
        <w:t>Information on compliance with embargoes and other trade restrictions currently in place</w:t>
      </w:r>
      <w:r w:rsidR="00630526">
        <w:rPr>
          <w:rStyle w:val="Seitenzahl"/>
          <w:b/>
        </w:rPr>
        <w:t>:</w:t>
      </w:r>
    </w:p>
    <w:p w14:paraId="3E6A0B0B" w14:textId="77777777" w:rsidR="00587C6E" w:rsidRDefault="00587C6E" w:rsidP="00C126B5">
      <w:pPr>
        <w:jc w:val="both"/>
        <w:rPr>
          <w:rStyle w:val="Seitenzahl"/>
        </w:rPr>
      </w:pPr>
    </w:p>
    <w:p w14:paraId="1B74FCEA" w14:textId="1BBEA317" w:rsidR="00C126B5" w:rsidRDefault="00C126B5" w:rsidP="00C126B5">
      <w:pPr>
        <w:jc w:val="both"/>
        <w:rPr>
          <w:rStyle w:val="Seitenzahl"/>
        </w:rPr>
      </w:pPr>
      <w:r w:rsidRPr="005E461E">
        <w:rPr>
          <w:rStyle w:val="Seitenzahl"/>
        </w:rPr>
        <w:t>GIZ</w:t>
      </w:r>
      <w:r>
        <w:rPr>
          <w:rStyle w:val="Seitenzahl"/>
        </w:rPr>
        <w:t xml:space="preserve"> specifically points out that under Section 6 of GIZ’s General Purchase Conditions (version dated </w:t>
      </w:r>
      <w:r w:rsidR="00A42DF3">
        <w:rPr>
          <w:rStyle w:val="Seitenzahl"/>
        </w:rPr>
        <w:t>July</w:t>
      </w:r>
      <w:r>
        <w:rPr>
          <w:rStyle w:val="Seitenzahl"/>
        </w:rPr>
        <w:t xml:space="preserve"> 202</w:t>
      </w:r>
      <w:r w:rsidR="00A42DF3">
        <w:rPr>
          <w:rStyle w:val="Seitenzahl"/>
        </w:rPr>
        <w:t>3</w:t>
      </w:r>
      <w:r>
        <w:rPr>
          <w:rStyle w:val="Seitenzahl"/>
        </w:rPr>
        <w:t>), all GIZ contractors are obliged to observe and comply with all embargoes and other trade restrictions of the United Nations, the European Union and the Federal Republic of Germany within the scope of the execution of a contract, both by themselves and with regard to their suppliers.</w:t>
      </w:r>
    </w:p>
    <w:p w14:paraId="72175F9E" w14:textId="77777777" w:rsidR="00C126B5" w:rsidRDefault="00C126B5" w:rsidP="00C126B5">
      <w:pPr>
        <w:jc w:val="both"/>
        <w:rPr>
          <w:rStyle w:val="Seitenzahl"/>
        </w:rPr>
      </w:pPr>
    </w:p>
    <w:p w14:paraId="05BC1C99" w14:textId="77777777" w:rsidR="00C126B5" w:rsidRDefault="00C126B5" w:rsidP="00C126B5">
      <w:pPr>
        <w:jc w:val="both"/>
        <w:rPr>
          <w:rStyle w:val="Seitenzahl"/>
        </w:rPr>
      </w:pPr>
      <w:r>
        <w:rPr>
          <w:rStyle w:val="Seitenzahl"/>
        </w:rPr>
        <w:t>This applies in particular to the latest</w:t>
      </w:r>
      <w:r>
        <w:t xml:space="preserve"> </w:t>
      </w:r>
      <w:hyperlink r:id="rId11" w:anchor="sanctions" w:history="1">
        <w:r>
          <w:rPr>
            <w:rStyle w:val="Hyperlink"/>
          </w:rPr>
          <w:t>EU sanctions against Russia, Belarus, Crimea and the affected parts of Eastern Ukraine</w:t>
        </w:r>
        <w:r>
          <w:rPr>
            <w:rStyle w:val="Funotenzeichen"/>
          </w:rPr>
          <w:footnoteReference w:id="2"/>
        </w:r>
      </w:hyperlink>
      <w:r>
        <w:t>. Accordingly, contractors are contractually required to supply only goods</w:t>
      </w:r>
      <w:r>
        <w:rPr>
          <w:rStyle w:val="Seitenzahl"/>
        </w:rPr>
        <w:t xml:space="preserve"> that are not covered by these sanctions. The contractor is also responsible for enabling GIZ to ensure compliance with the sanctions regime by providing the necessary support.</w:t>
      </w:r>
    </w:p>
    <w:p w14:paraId="60F84A38" w14:textId="77777777" w:rsidR="00601D45" w:rsidRDefault="00601D45" w:rsidP="00E31450">
      <w:pPr>
        <w:jc w:val="both"/>
        <w:rPr>
          <w:rStyle w:val="Seitenzahl"/>
          <w:lang w:val="en-GB"/>
        </w:rPr>
      </w:pPr>
    </w:p>
    <w:p w14:paraId="0BDEE79B" w14:textId="1EBB3A34" w:rsidR="00991AF1" w:rsidRDefault="00991AF1" w:rsidP="00E31450">
      <w:pPr>
        <w:jc w:val="both"/>
        <w:rPr>
          <w:rStyle w:val="Seitenzahl"/>
          <w:lang w:val="en-GB"/>
        </w:rPr>
      </w:pPr>
      <w:r>
        <w:rPr>
          <w:rStyle w:val="Seitenzahl"/>
          <w:lang w:val="en-GB"/>
        </w:rPr>
        <w:t>to project country with handover to the partner</w:t>
      </w:r>
    </w:p>
    <w:p w14:paraId="5F43E074" w14:textId="77777777" w:rsidR="00991AF1" w:rsidRDefault="00991AF1" w:rsidP="00E31450">
      <w:pPr>
        <w:jc w:val="both"/>
        <w:rPr>
          <w:rStyle w:val="Seitenzahl"/>
          <w:lang w:val="en-GB"/>
        </w:rPr>
      </w:pPr>
    </w:p>
    <w:p w14:paraId="15B8D1BE" w14:textId="2FA366CF" w:rsidR="00991AF1" w:rsidRPr="0043077F" w:rsidRDefault="00991AF1" w:rsidP="00991AF1">
      <w:pPr>
        <w:jc w:val="both"/>
        <w:rPr>
          <w:rStyle w:val="Seitenzahl"/>
          <w:lang w:val="en-GB"/>
        </w:rPr>
      </w:pPr>
      <w:r w:rsidRPr="0043077F">
        <w:rPr>
          <w:rStyle w:val="Seitenzahl"/>
          <w:lang w:val="en-GB"/>
        </w:rPr>
        <w:t xml:space="preserve">GIZ does not intend to use the tendered goods or services itself, but to provide them to an end user. In the case of the supply of goods which are listed in the Annexes referred to in Article 12g of Regulation (EU) No 833/2014 or Article 8g of Regulation (EC) No 765/2006, GIZ will require the end user to sign an end user agreement in which the end user undertakes in particular not to sell or export the goods in question to Russia/Belarus. </w:t>
      </w:r>
    </w:p>
    <w:p w14:paraId="7F074AE6" w14:textId="59F066F8" w:rsidR="00991AF1" w:rsidRDefault="00991AF1" w:rsidP="00991AF1">
      <w:pPr>
        <w:jc w:val="both"/>
        <w:rPr>
          <w:rStyle w:val="Seitenzahl"/>
          <w:lang w:val="en-GB"/>
        </w:rPr>
      </w:pPr>
      <w:r w:rsidRPr="0043077F">
        <w:rPr>
          <w:rStyle w:val="Seitenzahl"/>
          <w:lang w:val="en-GB"/>
        </w:rPr>
        <w:t xml:space="preserve">If the end user refuses to sign the end user agreement, GIZ may withdraw from this order, provided that the following conditions are met: The supply of goods would have been made from current production or from stock and GIZ confirms that it has no other use for the goods. If the contractor has incurred costs for the preparation of the offer, for the storage of the goods after conclusion of this contract and/or for the delivery of the goods, these shall be reimbursed in the event of withdrawal from this </w:t>
      </w:r>
      <w:r w:rsidR="00E61B2F" w:rsidRPr="0043077F">
        <w:rPr>
          <w:rStyle w:val="Seitenzahl"/>
          <w:lang w:val="en-GB"/>
        </w:rPr>
        <w:t>order</w:t>
      </w:r>
      <w:r w:rsidRPr="0043077F">
        <w:rPr>
          <w:rStyle w:val="Seitenzahl"/>
          <w:lang w:val="en-GB"/>
        </w:rPr>
        <w:t xml:space="preserve"> against appropriate proof.</w:t>
      </w:r>
    </w:p>
    <w:p w14:paraId="45EC83D0" w14:textId="77777777" w:rsidR="001F4E22" w:rsidRDefault="001F4E22" w:rsidP="00E31450">
      <w:pPr>
        <w:jc w:val="both"/>
        <w:rPr>
          <w:rStyle w:val="Seitenzahl"/>
          <w:lang w:val="en-GB"/>
        </w:rPr>
      </w:pPr>
    </w:p>
    <w:p w14:paraId="039D6B6D" w14:textId="77777777" w:rsidR="00717481" w:rsidRPr="00550AC9" w:rsidRDefault="00717481" w:rsidP="00E31450">
      <w:pPr>
        <w:jc w:val="both"/>
        <w:rPr>
          <w:rStyle w:val="Seitenzahl"/>
          <w:lang w:val="en-GB"/>
        </w:rPr>
      </w:pPr>
    </w:p>
    <w:p w14:paraId="492EF58F" w14:textId="77777777" w:rsidR="00717481" w:rsidRPr="00550AC9" w:rsidRDefault="004D1C53" w:rsidP="00E31450">
      <w:pPr>
        <w:jc w:val="both"/>
        <w:rPr>
          <w:rStyle w:val="Seitenzahl"/>
          <w:lang w:val="en-GB"/>
        </w:rPr>
      </w:pPr>
      <w:r w:rsidRPr="00550AC9">
        <w:rPr>
          <w:rStyle w:val="Seitenzahl"/>
          <w:b/>
          <w:lang w:val="en-GB"/>
        </w:rPr>
        <w:t>Payment terms:</w:t>
      </w:r>
      <w:r w:rsidRPr="00550AC9">
        <w:rPr>
          <w:rStyle w:val="Seitenzahl"/>
          <w:lang w:val="en-GB"/>
        </w:rPr>
        <w:t xml:space="preserve"> </w:t>
      </w:r>
    </w:p>
    <w:p w14:paraId="298F5B4C" w14:textId="77777777" w:rsidR="00717481" w:rsidRPr="00550AC9" w:rsidRDefault="00717481" w:rsidP="00E31450">
      <w:pPr>
        <w:jc w:val="both"/>
        <w:rPr>
          <w:rStyle w:val="Seitenzahl"/>
          <w:lang w:val="en-GB"/>
        </w:rPr>
      </w:pPr>
    </w:p>
    <w:p w14:paraId="0B8838C1" w14:textId="5975B2F4" w:rsidR="00813B1C" w:rsidRDefault="004C6F75" w:rsidP="00E31450">
      <w:pPr>
        <w:jc w:val="both"/>
        <w:rPr>
          <w:rStyle w:val="Seitenzahl"/>
          <w:lang w:val="en-GB"/>
        </w:rPr>
      </w:pPr>
      <w:r w:rsidRPr="00526D48">
        <w:t xml:space="preserve">Payment </w:t>
      </w:r>
      <w:r w:rsidRPr="00045E69">
        <w:t>within 30</w:t>
      </w:r>
      <w:r w:rsidR="00045E69" w:rsidRPr="00045E69">
        <w:t xml:space="preserve"> </w:t>
      </w:r>
      <w:r w:rsidRPr="00045E69">
        <w:t>days</w:t>
      </w:r>
      <w:r w:rsidRPr="00526D48">
        <w:t xml:space="preserve"> of delivery as indicated in the terms of delivery and after receipt of a commercial invoice.</w:t>
      </w:r>
    </w:p>
    <w:p w14:paraId="137DBFE8" w14:textId="63C9EA7C" w:rsidR="00B84D99" w:rsidRDefault="00B84D99" w:rsidP="00E31450">
      <w:pPr>
        <w:jc w:val="both"/>
        <w:rPr>
          <w:rStyle w:val="Seitenzahl"/>
          <w:lang w:val="en-GB"/>
        </w:rPr>
      </w:pPr>
    </w:p>
    <w:p w14:paraId="54358A36" w14:textId="77777777" w:rsidR="0031349C" w:rsidRDefault="0031349C" w:rsidP="00E31450">
      <w:pPr>
        <w:jc w:val="both"/>
        <w:rPr>
          <w:rStyle w:val="Seitenzahl"/>
          <w:lang w:val="en-GB"/>
        </w:rPr>
      </w:pPr>
    </w:p>
    <w:p w14:paraId="1297C8C4" w14:textId="77777777" w:rsidR="006374EF" w:rsidRPr="006374EF" w:rsidRDefault="006374EF" w:rsidP="006374EF">
      <w:pPr>
        <w:jc w:val="both"/>
        <w:rPr>
          <w:rStyle w:val="Seitenzahl"/>
          <w:b/>
          <w:bCs/>
          <w:lang w:val="en-GB"/>
        </w:rPr>
      </w:pPr>
      <w:r w:rsidRPr="006374EF">
        <w:rPr>
          <w:rStyle w:val="Seitenzahl"/>
          <w:b/>
          <w:bCs/>
          <w:lang w:val="en-GB"/>
        </w:rPr>
        <w:lastRenderedPageBreak/>
        <w:t>Invoicing:</w:t>
      </w:r>
    </w:p>
    <w:p w14:paraId="63FDD1C1" w14:textId="77777777" w:rsidR="006374EF" w:rsidRPr="00BF73D6" w:rsidRDefault="006374EF" w:rsidP="006374EF">
      <w:pPr>
        <w:jc w:val="both"/>
        <w:rPr>
          <w:sz w:val="24"/>
          <w:szCs w:val="24"/>
        </w:rPr>
      </w:pPr>
    </w:p>
    <w:p w14:paraId="6AF1F98A" w14:textId="77777777" w:rsidR="009B2514" w:rsidRDefault="009B2514" w:rsidP="00377A1C">
      <w:pPr>
        <w:jc w:val="both"/>
      </w:pPr>
      <w:r w:rsidRPr="002D7162">
        <w:t xml:space="preserve">Invoices </w:t>
      </w:r>
      <w:r>
        <w:t xml:space="preserve">must generally </w:t>
      </w:r>
      <w:r w:rsidRPr="002D7162">
        <w:t xml:space="preserve">be submitted in </w:t>
      </w:r>
      <w:r>
        <w:t>“</w:t>
      </w:r>
      <w:r w:rsidRPr="002D7162">
        <w:t>XRechnung</w:t>
      </w:r>
      <w:r>
        <w:t>”</w:t>
      </w:r>
      <w:r w:rsidRPr="002D7162">
        <w:t xml:space="preserve"> format or</w:t>
      </w:r>
      <w:r>
        <w:t xml:space="preserve"> in</w:t>
      </w:r>
      <w:r w:rsidRPr="002D7162">
        <w:t xml:space="preserve"> a CEN-compliant format (EN 16931-1)</w:t>
      </w:r>
      <w:r>
        <w:t xml:space="preserve"> using the current version</w:t>
      </w:r>
      <w:r w:rsidRPr="002D7162">
        <w:t xml:space="preserve">. </w:t>
      </w:r>
    </w:p>
    <w:p w14:paraId="5FFF0D9B" w14:textId="77777777" w:rsidR="009B2514" w:rsidRDefault="009B2514" w:rsidP="00377A1C">
      <w:pPr>
        <w:jc w:val="both"/>
      </w:pPr>
    </w:p>
    <w:p w14:paraId="56B9D17E" w14:textId="77777777" w:rsidR="009B2514" w:rsidRDefault="009B2514" w:rsidP="00377A1C">
      <w:pPr>
        <w:jc w:val="both"/>
      </w:pPr>
      <w:r w:rsidRPr="002D7162">
        <w:t xml:space="preserve">XRechnung </w:t>
      </w:r>
      <w:r>
        <w:t>invoices must</w:t>
      </w:r>
      <w:r w:rsidRPr="002D7162">
        <w:t xml:space="preserve"> be submitted individually </w:t>
      </w:r>
      <w:r>
        <w:t xml:space="preserve">by email to </w:t>
      </w:r>
      <w:hyperlink r:id="rId12" w:history="1">
        <w:r w:rsidRPr="00490DFA">
          <w:rPr>
            <w:rStyle w:val="Hyperlink"/>
          </w:rPr>
          <w:t>invoice_DE@giz.de</w:t>
        </w:r>
      </w:hyperlink>
      <w:r>
        <w:t xml:space="preserve"> and sent to GIZ.</w:t>
      </w:r>
      <w:r w:rsidRPr="002D7162">
        <w:t xml:space="preserve"> </w:t>
      </w:r>
    </w:p>
    <w:p w14:paraId="31A6B4FA" w14:textId="77777777" w:rsidR="009B2514" w:rsidRPr="002D7162" w:rsidRDefault="009B2514" w:rsidP="00377A1C">
      <w:pPr>
        <w:jc w:val="both"/>
      </w:pPr>
    </w:p>
    <w:p w14:paraId="6379AB5E" w14:textId="3ED023E5" w:rsidR="009B2514" w:rsidRDefault="009B2514" w:rsidP="00377A1C">
      <w:pPr>
        <w:jc w:val="both"/>
      </w:pPr>
      <w:r w:rsidRPr="002D7162">
        <w:t xml:space="preserve">Regardless of the invoicing </w:t>
      </w:r>
      <w:r w:rsidR="00377A1C" w:rsidRPr="002D7162">
        <w:t>method, the</w:t>
      </w:r>
      <w:r w:rsidRPr="002D7162">
        <w:t xml:space="preserve"> </w:t>
      </w:r>
      <w:r>
        <w:t xml:space="preserve">invoice must always include the complete GIZ </w:t>
      </w:r>
      <w:r w:rsidRPr="002D7162">
        <w:t>contract number or order number. XRechnung</w:t>
      </w:r>
      <w:r>
        <w:t>invoices must be issued stating the</w:t>
      </w:r>
      <w:r w:rsidRPr="002D7162">
        <w:t xml:space="preserve"> GIZ routing ID</w:t>
      </w:r>
      <w:r>
        <w:t xml:space="preserve"> (Leitweg-ID)</w:t>
      </w:r>
      <w:r w:rsidRPr="002D7162">
        <w:t xml:space="preserve"> "993-80072-52". </w:t>
      </w:r>
    </w:p>
    <w:p w14:paraId="77BFE01F" w14:textId="77777777" w:rsidR="009B2514" w:rsidRDefault="009B2514" w:rsidP="00377A1C">
      <w:pPr>
        <w:jc w:val="both"/>
      </w:pPr>
    </w:p>
    <w:p w14:paraId="1705F1C3" w14:textId="77777777" w:rsidR="009B2514" w:rsidRPr="007F5D40" w:rsidRDefault="009B2514" w:rsidP="00377A1C">
      <w:pPr>
        <w:jc w:val="both"/>
      </w:pPr>
      <w:r>
        <w:t>In addition, the supplier must comply with the following requirements</w:t>
      </w:r>
      <w:r w:rsidRPr="007F5D40">
        <w:t>:</w:t>
      </w:r>
    </w:p>
    <w:p w14:paraId="5A1879EA" w14:textId="77777777" w:rsidR="009B2514" w:rsidRPr="00147F4A" w:rsidRDefault="009B2514" w:rsidP="00377A1C">
      <w:pPr>
        <w:numPr>
          <w:ilvl w:val="0"/>
          <w:numId w:val="17"/>
        </w:numPr>
        <w:ind w:left="1134"/>
        <w:jc w:val="both"/>
      </w:pPr>
      <w:r w:rsidRPr="00147F4A">
        <w:t>The invoice must be attached as an e-mail attachment in 1st place</w:t>
      </w:r>
    </w:p>
    <w:p w14:paraId="7809E90F" w14:textId="77777777" w:rsidR="009B2514" w:rsidRPr="00B256DF" w:rsidRDefault="009B2514" w:rsidP="00377A1C">
      <w:pPr>
        <w:numPr>
          <w:ilvl w:val="0"/>
          <w:numId w:val="17"/>
        </w:numPr>
        <w:ind w:left="1134"/>
        <w:jc w:val="both"/>
      </w:pPr>
      <w:r>
        <w:t>N</w:t>
      </w:r>
      <w:r w:rsidRPr="00B256DF">
        <w:t>ot encrypted</w:t>
      </w:r>
    </w:p>
    <w:p w14:paraId="2F3EE999" w14:textId="77777777" w:rsidR="009B2514" w:rsidRPr="00B256DF" w:rsidRDefault="009B2514" w:rsidP="00377A1C">
      <w:pPr>
        <w:numPr>
          <w:ilvl w:val="0"/>
          <w:numId w:val="17"/>
        </w:numPr>
        <w:ind w:left="1134"/>
        <w:jc w:val="both"/>
      </w:pPr>
      <w:r>
        <w:t>N</w:t>
      </w:r>
      <w:r w:rsidRPr="00B256DF">
        <w:t>ot password-protected</w:t>
      </w:r>
    </w:p>
    <w:p w14:paraId="1B9463E2" w14:textId="77777777" w:rsidR="009B2514" w:rsidRPr="009C3F2F" w:rsidRDefault="009B2514" w:rsidP="00377A1C">
      <w:pPr>
        <w:numPr>
          <w:ilvl w:val="0"/>
          <w:numId w:val="17"/>
        </w:numPr>
        <w:ind w:left="1134"/>
        <w:jc w:val="both"/>
      </w:pPr>
      <w:r>
        <w:t>N</w:t>
      </w:r>
      <w:r w:rsidRPr="009C3F2F">
        <w:t>o invoice relevant information in the e-mail body</w:t>
      </w:r>
    </w:p>
    <w:p w14:paraId="26C88BA7" w14:textId="77777777" w:rsidR="009B2514" w:rsidRPr="009C3F2F" w:rsidRDefault="009B2514" w:rsidP="00377A1C">
      <w:pPr>
        <w:numPr>
          <w:ilvl w:val="0"/>
          <w:numId w:val="17"/>
        </w:numPr>
        <w:ind w:left="1134"/>
        <w:jc w:val="both"/>
      </w:pPr>
      <w:r>
        <w:t>N</w:t>
      </w:r>
      <w:r w:rsidRPr="009C3F2F">
        <w:t>o additional delivery of copies in paper format.</w:t>
      </w:r>
    </w:p>
    <w:p w14:paraId="76A24222" w14:textId="77777777" w:rsidR="009B2514" w:rsidRDefault="009B2514" w:rsidP="00377A1C">
      <w:pPr>
        <w:jc w:val="both"/>
      </w:pPr>
    </w:p>
    <w:p w14:paraId="49D00298" w14:textId="77777777" w:rsidR="009B2514" w:rsidRPr="00D2204E" w:rsidRDefault="009B2514" w:rsidP="00377A1C">
      <w:pPr>
        <w:jc w:val="both"/>
      </w:pPr>
      <w:r w:rsidRPr="00840A0C">
        <w:t xml:space="preserve">Further information is also available on the </w:t>
      </w:r>
      <w:hyperlink r:id="rId13" w:history="1">
        <w:r w:rsidRPr="00763512">
          <w:rPr>
            <w:rStyle w:val="Hyperlink"/>
          </w:rPr>
          <w:t>Materials and equipment | GIZ</w:t>
        </w:r>
      </w:hyperlink>
      <w:r w:rsidRPr="001B7649">
        <w:t xml:space="preserve"> </w:t>
      </w:r>
      <w:r>
        <w:t>page.</w:t>
      </w:r>
    </w:p>
    <w:p w14:paraId="092E6707" w14:textId="77777777" w:rsidR="00DD3399" w:rsidRPr="00BF73D6" w:rsidRDefault="00DD3399" w:rsidP="00CC7B4E">
      <w:pPr>
        <w:jc w:val="both"/>
      </w:pPr>
    </w:p>
    <w:p w14:paraId="77151C29" w14:textId="77777777" w:rsidR="006374EF" w:rsidRPr="00550AC9" w:rsidRDefault="006374EF" w:rsidP="00E31450">
      <w:pPr>
        <w:jc w:val="both"/>
        <w:rPr>
          <w:rStyle w:val="Seitenzahl"/>
          <w:lang w:val="en-GB"/>
        </w:rPr>
      </w:pPr>
    </w:p>
    <w:p w14:paraId="4244DAD4" w14:textId="29162561" w:rsidR="00717481" w:rsidRPr="00550AC9" w:rsidRDefault="004D1C53" w:rsidP="00E31450">
      <w:pPr>
        <w:jc w:val="both"/>
        <w:rPr>
          <w:lang w:val="en-GB"/>
        </w:rPr>
      </w:pPr>
      <w:r w:rsidRPr="00550AC9">
        <w:rPr>
          <w:b/>
          <w:lang w:val="en-GB"/>
        </w:rPr>
        <w:t>Delivery clause</w:t>
      </w:r>
      <w:r w:rsidR="003D1CD6">
        <w:rPr>
          <w:b/>
          <w:lang w:val="en-GB"/>
        </w:rPr>
        <w:t>:</w:t>
      </w:r>
      <w:r w:rsidRPr="00550AC9">
        <w:rPr>
          <w:lang w:val="en-GB"/>
        </w:rPr>
        <w:t xml:space="preserve"> </w:t>
      </w:r>
    </w:p>
    <w:p w14:paraId="668BD62D" w14:textId="77777777" w:rsidR="00717481" w:rsidRPr="00550AC9" w:rsidRDefault="00717481" w:rsidP="00E31450">
      <w:pPr>
        <w:jc w:val="both"/>
        <w:rPr>
          <w:lang w:val="en-GB"/>
        </w:rPr>
      </w:pPr>
    </w:p>
    <w:p w14:paraId="521DD17F" w14:textId="59CFE9C5" w:rsidR="00953E2A" w:rsidRDefault="00D3679B" w:rsidP="000235C1">
      <w:pPr>
        <w:rPr>
          <w:lang w:val="en-GB"/>
        </w:rPr>
      </w:pPr>
      <w:r>
        <w:rPr>
          <w:lang w:val="en-GB"/>
        </w:rPr>
        <w:t>DPU</w:t>
      </w:r>
      <w:r w:rsidR="00D8544C">
        <w:rPr>
          <w:lang w:val="en-GB"/>
        </w:rPr>
        <w:t xml:space="preserve"> (incoterm 2020)</w:t>
      </w:r>
      <w:r w:rsidR="000235C1">
        <w:rPr>
          <w:lang w:val="en-GB"/>
        </w:rPr>
        <w:t>, two laboratorie</w:t>
      </w:r>
      <w:r w:rsidR="00D8544C">
        <w:rPr>
          <w:lang w:val="en-GB"/>
        </w:rPr>
        <w:t>s in Libya</w:t>
      </w:r>
    </w:p>
    <w:p w14:paraId="53DE7C49" w14:textId="77777777" w:rsidR="00D8544C" w:rsidRDefault="00D3679B" w:rsidP="00D8544C">
      <w:pPr>
        <w:rPr>
          <w:b/>
          <w:bCs/>
          <w:sz w:val="20"/>
          <w:szCs w:val="20"/>
        </w:rPr>
      </w:pPr>
      <w:r>
        <w:rPr>
          <w:lang w:val="en-GB"/>
        </w:rPr>
        <w:t xml:space="preserve">the </w:t>
      </w:r>
      <w:r w:rsidR="000235C1">
        <w:rPr>
          <w:b/>
          <w:bCs/>
          <w:sz w:val="20"/>
          <w:szCs w:val="20"/>
        </w:rPr>
        <w:t xml:space="preserve">Location of </w:t>
      </w:r>
      <w:r w:rsidR="000235C1" w:rsidRPr="008660CF">
        <w:rPr>
          <w:b/>
          <w:bCs/>
          <w:color w:val="4472C4" w:themeColor="accent1"/>
          <w:sz w:val="20"/>
          <w:szCs w:val="20"/>
        </w:rPr>
        <w:t>Laboratory 1</w:t>
      </w:r>
      <w:r w:rsidR="000235C1">
        <w:rPr>
          <w:b/>
          <w:bCs/>
          <w:sz w:val="20"/>
          <w:szCs w:val="20"/>
        </w:rPr>
        <w:t xml:space="preserve">: </w:t>
      </w:r>
      <w:r w:rsidR="000235C1" w:rsidRPr="006F0465">
        <w:rPr>
          <w:sz w:val="20"/>
          <w:szCs w:val="20"/>
        </w:rPr>
        <w:t>most likely greater Tripoli area</w:t>
      </w:r>
      <w:r w:rsidR="000235C1" w:rsidRPr="00AF0250">
        <w:rPr>
          <w:sz w:val="20"/>
          <w:szCs w:val="20"/>
        </w:rPr>
        <w:t>; it will be announced at the latest together with the contract award.</w:t>
      </w:r>
      <w:r w:rsidR="00D8544C" w:rsidRPr="00D8544C">
        <w:rPr>
          <w:b/>
          <w:bCs/>
          <w:sz w:val="20"/>
          <w:szCs w:val="20"/>
        </w:rPr>
        <w:t xml:space="preserve"> </w:t>
      </w:r>
    </w:p>
    <w:p w14:paraId="4DA47B58" w14:textId="61FD7781" w:rsidR="00D8544C" w:rsidRPr="00AF0250" w:rsidRDefault="00D8544C" w:rsidP="00D8544C">
      <w:pPr>
        <w:rPr>
          <w:sz w:val="20"/>
          <w:szCs w:val="20"/>
          <w:lang w:val="en-GB"/>
        </w:rPr>
      </w:pPr>
      <w:r>
        <w:rPr>
          <w:b/>
          <w:bCs/>
          <w:sz w:val="20"/>
          <w:szCs w:val="20"/>
        </w:rPr>
        <w:t xml:space="preserve">Location of </w:t>
      </w:r>
      <w:r w:rsidRPr="008660CF">
        <w:rPr>
          <w:b/>
          <w:bCs/>
          <w:color w:val="4472C4" w:themeColor="accent1"/>
          <w:sz w:val="20"/>
          <w:szCs w:val="20"/>
        </w:rPr>
        <w:t xml:space="preserve">Laboratory </w:t>
      </w:r>
      <w:r>
        <w:rPr>
          <w:b/>
          <w:bCs/>
          <w:color w:val="4472C4" w:themeColor="accent1"/>
          <w:sz w:val="20"/>
          <w:szCs w:val="20"/>
        </w:rPr>
        <w:t>2</w:t>
      </w:r>
      <w:r>
        <w:rPr>
          <w:sz w:val="20"/>
          <w:szCs w:val="20"/>
          <w:lang w:val="en-GB"/>
        </w:rPr>
        <w:t>: T</w:t>
      </w:r>
      <w:r w:rsidRPr="00AF0250">
        <w:rPr>
          <w:sz w:val="20"/>
          <w:szCs w:val="20"/>
          <w:lang w:val="en-GB"/>
        </w:rPr>
        <w:t xml:space="preserve">he Libyan National Centre for Standardisation and Metrology (LNCSM) in Tripoli </w:t>
      </w:r>
    </w:p>
    <w:p w14:paraId="44E17D3B" w14:textId="77777777" w:rsidR="00717481" w:rsidRPr="00550AC9" w:rsidRDefault="00717481" w:rsidP="00E31450">
      <w:pPr>
        <w:jc w:val="both"/>
        <w:rPr>
          <w:lang w:val="en-GB"/>
        </w:rPr>
      </w:pPr>
    </w:p>
    <w:p w14:paraId="198E1149" w14:textId="77777777" w:rsidR="00717481" w:rsidRPr="00550AC9" w:rsidRDefault="00717481" w:rsidP="00E31450">
      <w:pPr>
        <w:jc w:val="both"/>
        <w:rPr>
          <w:lang w:val="en-GB"/>
        </w:rPr>
      </w:pPr>
    </w:p>
    <w:p w14:paraId="7A39D09E" w14:textId="77777777" w:rsidR="00717481" w:rsidRPr="00550AC9" w:rsidRDefault="004D1C53" w:rsidP="00E31450">
      <w:pPr>
        <w:jc w:val="both"/>
        <w:rPr>
          <w:lang w:val="en-GB"/>
        </w:rPr>
      </w:pPr>
      <w:r w:rsidRPr="00550AC9">
        <w:rPr>
          <w:b/>
          <w:lang w:val="en-GB"/>
        </w:rPr>
        <w:t>Country of destination:</w:t>
      </w:r>
      <w:r w:rsidRPr="00550AC9">
        <w:rPr>
          <w:lang w:val="en-GB"/>
        </w:rPr>
        <w:t xml:space="preserve"> </w:t>
      </w:r>
    </w:p>
    <w:p w14:paraId="170538F5" w14:textId="77777777" w:rsidR="00717481" w:rsidRPr="00550AC9" w:rsidRDefault="00717481" w:rsidP="00E31450">
      <w:pPr>
        <w:jc w:val="both"/>
        <w:rPr>
          <w:lang w:val="en-GB"/>
        </w:rPr>
      </w:pPr>
    </w:p>
    <w:p w14:paraId="3E66D6B6" w14:textId="277E81F3" w:rsidR="00717481" w:rsidRPr="00550AC9" w:rsidRDefault="00D8544C" w:rsidP="00E31450">
      <w:pPr>
        <w:jc w:val="both"/>
        <w:rPr>
          <w:lang w:val="en-GB"/>
        </w:rPr>
      </w:pPr>
      <w:r>
        <w:rPr>
          <w:lang w:val="en-GB"/>
        </w:rPr>
        <w:t>Libya</w:t>
      </w:r>
    </w:p>
    <w:p w14:paraId="0A47D771" w14:textId="5559BF68" w:rsidR="00717481" w:rsidRDefault="00717481" w:rsidP="00E31450">
      <w:pPr>
        <w:jc w:val="both"/>
        <w:rPr>
          <w:lang w:val="en-GB"/>
        </w:rPr>
      </w:pPr>
    </w:p>
    <w:p w14:paraId="0120BCEE" w14:textId="77777777" w:rsidR="00717481" w:rsidRPr="00A6689F" w:rsidRDefault="00717481" w:rsidP="00E31450">
      <w:pPr>
        <w:jc w:val="both"/>
        <w:rPr>
          <w:bCs/>
          <w:lang w:val="en-GB"/>
        </w:rPr>
      </w:pPr>
    </w:p>
    <w:p w14:paraId="5FFCB6BF" w14:textId="593F3C46" w:rsidR="00717481" w:rsidRPr="00550AC9" w:rsidRDefault="004D1C53" w:rsidP="00E31450">
      <w:pPr>
        <w:jc w:val="both"/>
        <w:rPr>
          <w:lang w:val="en-GB"/>
        </w:rPr>
      </w:pPr>
      <w:r w:rsidRPr="00550AC9">
        <w:rPr>
          <w:b/>
          <w:lang w:val="en-GB"/>
        </w:rPr>
        <w:t>Requested delivery date:</w:t>
      </w:r>
      <w:r w:rsidRPr="00550AC9">
        <w:rPr>
          <w:lang w:val="en-GB"/>
        </w:rPr>
        <w:t xml:space="preserve"> </w:t>
      </w:r>
    </w:p>
    <w:p w14:paraId="7CFBB7BE" w14:textId="77777777" w:rsidR="00717481" w:rsidRPr="00550AC9" w:rsidRDefault="00717481" w:rsidP="00E31450">
      <w:pPr>
        <w:jc w:val="both"/>
        <w:rPr>
          <w:lang w:val="en-GB"/>
        </w:rPr>
      </w:pPr>
    </w:p>
    <w:p w14:paraId="3182A0E0" w14:textId="38FEF74A" w:rsidR="00717481" w:rsidRDefault="00DF27BA" w:rsidP="00E31450">
      <w:pPr>
        <w:jc w:val="both"/>
        <w:rPr>
          <w:lang w:val="en-GB"/>
        </w:rPr>
      </w:pPr>
      <w:r w:rsidRPr="00DF27BA">
        <w:t>The latest delivery date</w:t>
      </w:r>
      <w:r w:rsidR="006B6E9A">
        <w:t xml:space="preserve"> for the goods</w:t>
      </w:r>
      <w:r w:rsidRPr="00DF27BA">
        <w:t xml:space="preserve"> is sixteen (16) weeks after transmission of the contract</w:t>
      </w:r>
      <w:r w:rsidR="006B6E9A">
        <w:t xml:space="preserve"> and the installation and training shall be carried out within 8 weeks after delivery. </w:t>
      </w:r>
      <w:r w:rsidRPr="00DF27BA">
        <w:t>Offers that do not include a binding delivery commitment within this period cannot be considered. The delivery date must be stated explicitly and without reservation in the PDF version of the offer.</w:t>
      </w:r>
      <w:r>
        <w:t xml:space="preserve"> </w:t>
      </w:r>
    </w:p>
    <w:p w14:paraId="39DC26C9" w14:textId="31B5A6B1" w:rsidR="003D1CD6" w:rsidRDefault="003D1CD6" w:rsidP="00E31450">
      <w:pPr>
        <w:jc w:val="both"/>
        <w:rPr>
          <w:lang w:val="en-GB"/>
        </w:rPr>
      </w:pPr>
    </w:p>
    <w:p w14:paraId="0F8C02C2" w14:textId="77777777" w:rsidR="00717481" w:rsidRPr="0059603E" w:rsidRDefault="00717481" w:rsidP="00E31450">
      <w:pPr>
        <w:jc w:val="both"/>
      </w:pPr>
    </w:p>
    <w:p w14:paraId="09528427" w14:textId="77777777" w:rsidR="00717481" w:rsidRPr="00550AC9" w:rsidRDefault="004D1C53" w:rsidP="00E31450">
      <w:pPr>
        <w:jc w:val="both"/>
        <w:rPr>
          <w:lang w:val="en-GB"/>
        </w:rPr>
      </w:pPr>
      <w:r w:rsidRPr="00550AC9">
        <w:rPr>
          <w:b/>
          <w:lang w:val="en-GB"/>
        </w:rPr>
        <w:t>Packaging:</w:t>
      </w:r>
      <w:r w:rsidRPr="00550AC9">
        <w:rPr>
          <w:lang w:val="en-GB"/>
        </w:rPr>
        <w:t xml:space="preserve"> </w:t>
      </w:r>
    </w:p>
    <w:p w14:paraId="3DA47E12" w14:textId="77777777" w:rsidR="00717481" w:rsidRPr="00550AC9" w:rsidRDefault="00717481" w:rsidP="00E31450">
      <w:pPr>
        <w:jc w:val="both"/>
        <w:rPr>
          <w:lang w:val="en-GB"/>
        </w:rPr>
      </w:pPr>
    </w:p>
    <w:p w14:paraId="6A855154" w14:textId="3386DA40" w:rsidR="00717481" w:rsidRPr="00550AC9" w:rsidRDefault="004D1C53" w:rsidP="00E31450">
      <w:pPr>
        <w:jc w:val="both"/>
        <w:rPr>
          <w:bCs/>
          <w:lang w:val="en-GB"/>
        </w:rPr>
      </w:pPr>
      <w:r w:rsidRPr="00550AC9">
        <w:rPr>
          <w:lang w:val="en-GB"/>
        </w:rPr>
        <w:t xml:space="preserve">Appropriately packaged for </w:t>
      </w:r>
      <w:r w:rsidR="00A52DD4">
        <w:rPr>
          <w:lang w:val="en-GB"/>
        </w:rPr>
        <w:t>transportation</w:t>
      </w:r>
      <w:r w:rsidRPr="00550AC9">
        <w:rPr>
          <w:lang w:val="en-GB"/>
        </w:rPr>
        <w:t xml:space="preserve"> in accordance with GIZ</w:t>
      </w:r>
      <w:r w:rsidRPr="00550AC9">
        <w:rPr>
          <w:cs/>
          <w:lang w:val="en-GB"/>
        </w:rPr>
        <w:t>’</w:t>
      </w:r>
      <w:r w:rsidRPr="00550AC9">
        <w:rPr>
          <w:lang w:val="en-GB"/>
        </w:rPr>
        <w:t xml:space="preserve">s </w:t>
      </w:r>
      <w:r w:rsidR="000974E2">
        <w:rPr>
          <w:lang w:val="en-GB"/>
        </w:rPr>
        <w:t xml:space="preserve">currently valid </w:t>
      </w:r>
      <w:r w:rsidRPr="00550AC9">
        <w:rPr>
          <w:lang w:val="en-GB"/>
        </w:rPr>
        <w:t>General Purchase Conditions (GPC).</w:t>
      </w:r>
    </w:p>
    <w:p w14:paraId="5006F762" w14:textId="77777777" w:rsidR="00717481" w:rsidRPr="00550AC9" w:rsidRDefault="00717481" w:rsidP="00E31450">
      <w:pPr>
        <w:jc w:val="both"/>
        <w:rPr>
          <w:rStyle w:val="Seitenzahl"/>
          <w:lang w:val="en-GB"/>
        </w:rPr>
      </w:pPr>
    </w:p>
    <w:p w14:paraId="364D4989" w14:textId="77777777" w:rsidR="00717481" w:rsidRPr="00550AC9" w:rsidRDefault="00717481" w:rsidP="00E31450">
      <w:pPr>
        <w:jc w:val="both"/>
        <w:rPr>
          <w:rStyle w:val="Seitenzahl"/>
          <w:lang w:val="en-GB"/>
        </w:rPr>
      </w:pPr>
    </w:p>
    <w:p w14:paraId="521F1341" w14:textId="5E4B22BC" w:rsidR="004F2F40" w:rsidRPr="00550AC9" w:rsidRDefault="004D1C53" w:rsidP="00E31450">
      <w:pPr>
        <w:jc w:val="both"/>
        <w:rPr>
          <w:rStyle w:val="Seitenzahl"/>
          <w:b/>
          <w:lang w:val="en-GB"/>
        </w:rPr>
      </w:pPr>
      <w:r w:rsidRPr="00550AC9">
        <w:rPr>
          <w:rStyle w:val="Seitenzahl"/>
          <w:b/>
          <w:lang w:val="en-GB"/>
        </w:rPr>
        <w:t>Quality inspection:</w:t>
      </w:r>
    </w:p>
    <w:p w14:paraId="0D3291CA" w14:textId="77777777" w:rsidR="00717481" w:rsidRPr="00550AC9" w:rsidRDefault="00717481" w:rsidP="00E31450">
      <w:pPr>
        <w:jc w:val="both"/>
        <w:rPr>
          <w:rStyle w:val="Seitenzahl"/>
          <w:lang w:val="en-GB"/>
        </w:rPr>
      </w:pPr>
    </w:p>
    <w:p w14:paraId="680F9872" w14:textId="35E3D3BC" w:rsidR="00717481" w:rsidRPr="00550AC9" w:rsidRDefault="004D1C53" w:rsidP="00E31450">
      <w:pPr>
        <w:jc w:val="both"/>
        <w:rPr>
          <w:lang w:val="en-GB"/>
        </w:rPr>
      </w:pPr>
      <w:r w:rsidRPr="00550AC9">
        <w:rPr>
          <w:lang w:val="en-GB"/>
        </w:rPr>
        <w:t xml:space="preserve">An inspection of quality is to be conducted at </w:t>
      </w:r>
      <w:r w:rsidR="005274A8">
        <w:rPr>
          <w:lang w:val="en-GB"/>
        </w:rPr>
        <w:t xml:space="preserve">the contractor’s </w:t>
      </w:r>
      <w:r w:rsidRPr="00550AC9">
        <w:rPr>
          <w:lang w:val="en-GB"/>
        </w:rPr>
        <w:t>premises</w:t>
      </w:r>
      <w:r w:rsidR="00020970">
        <w:rPr>
          <w:lang w:val="en-GB"/>
        </w:rPr>
        <w:t xml:space="preserve"> before shipment</w:t>
      </w:r>
      <w:r w:rsidRPr="00550AC9">
        <w:rPr>
          <w:lang w:val="en-GB"/>
        </w:rPr>
        <w:t>.</w:t>
      </w:r>
    </w:p>
    <w:p w14:paraId="395831BE" w14:textId="77777777" w:rsidR="00717481" w:rsidRPr="00550AC9" w:rsidRDefault="00717481" w:rsidP="00E31450">
      <w:pPr>
        <w:jc w:val="both"/>
        <w:rPr>
          <w:lang w:val="en-GB"/>
        </w:rPr>
      </w:pPr>
    </w:p>
    <w:p w14:paraId="0779282F" w14:textId="77777777" w:rsidR="00717481" w:rsidRPr="00550AC9" w:rsidRDefault="004D1C53" w:rsidP="00E31450">
      <w:pPr>
        <w:pStyle w:val="Listenabsatz"/>
        <w:numPr>
          <w:ilvl w:val="0"/>
          <w:numId w:val="11"/>
        </w:numPr>
        <w:ind w:left="360"/>
        <w:jc w:val="both"/>
        <w:rPr>
          <w:lang w:val="en-GB"/>
        </w:rPr>
      </w:pPr>
      <w:r w:rsidRPr="00550AC9">
        <w:rPr>
          <w:lang w:val="en-GB"/>
        </w:rPr>
        <w:lastRenderedPageBreak/>
        <w:t>GIZ must be given at least two weeks</w:t>
      </w:r>
      <w:r w:rsidRPr="00550AC9">
        <w:rPr>
          <w:cs/>
          <w:lang w:val="en-GB"/>
        </w:rPr>
        <w:t xml:space="preserve">’ </w:t>
      </w:r>
      <w:r w:rsidRPr="00550AC9">
        <w:rPr>
          <w:lang w:val="en-GB"/>
        </w:rPr>
        <w:t>advance notice of the inspection date. The contractor must provide the necessary personnel and the required measuring equipment, consumables, fuel and power requirements free of charge.</w:t>
      </w:r>
    </w:p>
    <w:p w14:paraId="4E07449A" w14:textId="77777777" w:rsidR="00717481" w:rsidRPr="00550AC9" w:rsidRDefault="00717481" w:rsidP="00E31450">
      <w:pPr>
        <w:jc w:val="both"/>
        <w:rPr>
          <w:lang w:val="en-GB"/>
        </w:rPr>
      </w:pPr>
    </w:p>
    <w:p w14:paraId="07DFA443" w14:textId="77777777" w:rsidR="00717481" w:rsidRPr="00550AC9" w:rsidRDefault="004D1C53" w:rsidP="00E31450">
      <w:pPr>
        <w:pStyle w:val="Listenabsatz"/>
        <w:numPr>
          <w:ilvl w:val="0"/>
          <w:numId w:val="11"/>
        </w:numPr>
        <w:ind w:left="360"/>
        <w:jc w:val="both"/>
        <w:rPr>
          <w:lang w:val="en-GB"/>
        </w:rPr>
      </w:pPr>
      <w:r w:rsidRPr="00550AC9">
        <w:rPr>
          <w:lang w:val="en-GB"/>
        </w:rPr>
        <w:t xml:space="preserve">GIZ or its appointed representatives will carry out the </w:t>
      </w:r>
      <w:r w:rsidR="00550AC9" w:rsidRPr="00550AC9">
        <w:rPr>
          <w:lang w:val="en-GB"/>
        </w:rPr>
        <w:t xml:space="preserve">quality </w:t>
      </w:r>
      <w:r w:rsidRPr="00550AC9">
        <w:rPr>
          <w:lang w:val="en-GB"/>
        </w:rPr>
        <w:t>inspection.</w:t>
      </w:r>
    </w:p>
    <w:p w14:paraId="29AD496D" w14:textId="77777777" w:rsidR="00717481" w:rsidRPr="00550AC9" w:rsidRDefault="00717481" w:rsidP="00E31450">
      <w:pPr>
        <w:jc w:val="both"/>
        <w:rPr>
          <w:lang w:val="en-GB"/>
        </w:rPr>
      </w:pPr>
    </w:p>
    <w:p w14:paraId="77E69F14" w14:textId="77777777" w:rsidR="00717481" w:rsidRPr="00550AC9" w:rsidRDefault="004D1C53" w:rsidP="00E31450">
      <w:pPr>
        <w:pStyle w:val="Listenabsatz"/>
        <w:numPr>
          <w:ilvl w:val="0"/>
          <w:numId w:val="11"/>
        </w:numPr>
        <w:ind w:left="360"/>
        <w:jc w:val="both"/>
        <w:rPr>
          <w:lang w:val="en-GB"/>
        </w:rPr>
      </w:pPr>
      <w:r w:rsidRPr="00550AC9">
        <w:rPr>
          <w:lang w:val="en-GB"/>
        </w:rPr>
        <w:t xml:space="preserve">The contractor must provide GIZ with two copies of </w:t>
      </w:r>
      <w:r w:rsidR="00550AC9">
        <w:rPr>
          <w:lang w:val="en-GB"/>
        </w:rPr>
        <w:t xml:space="preserve">the </w:t>
      </w:r>
      <w:r w:rsidRPr="00550AC9">
        <w:rPr>
          <w:lang w:val="en-GB"/>
        </w:rPr>
        <w:t xml:space="preserve">inspection reports customary in the industry, irrespective of whether GIZ has taken part in the </w:t>
      </w:r>
      <w:r w:rsidR="00550AC9" w:rsidRPr="00550AC9">
        <w:rPr>
          <w:lang w:val="en-GB"/>
        </w:rPr>
        <w:t xml:space="preserve">quality </w:t>
      </w:r>
      <w:r w:rsidRPr="00550AC9">
        <w:rPr>
          <w:lang w:val="en-GB"/>
        </w:rPr>
        <w:t>inspection.</w:t>
      </w:r>
    </w:p>
    <w:p w14:paraId="6571C337" w14:textId="77777777" w:rsidR="00717481" w:rsidRPr="00550AC9" w:rsidRDefault="00717481" w:rsidP="00E31450">
      <w:pPr>
        <w:jc w:val="both"/>
        <w:rPr>
          <w:lang w:val="en-GB"/>
        </w:rPr>
      </w:pPr>
    </w:p>
    <w:p w14:paraId="585B060C" w14:textId="77777777" w:rsidR="00717481" w:rsidRPr="00550AC9" w:rsidRDefault="004D1C53" w:rsidP="00E31450">
      <w:pPr>
        <w:pStyle w:val="Listenabsatz"/>
        <w:numPr>
          <w:ilvl w:val="0"/>
          <w:numId w:val="11"/>
        </w:numPr>
        <w:ind w:left="360"/>
        <w:jc w:val="both"/>
        <w:rPr>
          <w:lang w:val="en-GB"/>
        </w:rPr>
      </w:pPr>
      <w:r w:rsidRPr="00550AC9">
        <w:rPr>
          <w:lang w:val="en-GB"/>
        </w:rPr>
        <w:t xml:space="preserve">Neither the </w:t>
      </w:r>
      <w:r w:rsidR="00550AC9">
        <w:rPr>
          <w:lang w:val="en-GB"/>
        </w:rPr>
        <w:t xml:space="preserve">actual </w:t>
      </w:r>
      <w:r w:rsidR="00550AC9" w:rsidRPr="00550AC9">
        <w:rPr>
          <w:lang w:val="en-GB"/>
        </w:rPr>
        <w:t xml:space="preserve">quality </w:t>
      </w:r>
      <w:r w:rsidRPr="00550AC9">
        <w:rPr>
          <w:lang w:val="en-GB"/>
        </w:rPr>
        <w:t xml:space="preserve">inspection, nor any decision by GIZ to waive the inspection, nor the acceptance of inspection reports </w:t>
      </w:r>
      <w:r w:rsidR="00550AC9" w:rsidRPr="00550AC9">
        <w:rPr>
          <w:lang w:val="en-GB"/>
        </w:rPr>
        <w:t xml:space="preserve">by GIZ </w:t>
      </w:r>
      <w:r w:rsidRPr="00550AC9">
        <w:rPr>
          <w:lang w:val="en-GB"/>
        </w:rPr>
        <w:t>without objections is deemed to replace the formal acceptance process</w:t>
      </w:r>
      <w:r w:rsidR="00550AC9">
        <w:rPr>
          <w:lang w:val="en-GB"/>
        </w:rPr>
        <w:t>.</w:t>
      </w:r>
      <w:r w:rsidR="00550AC9" w:rsidRPr="00550AC9">
        <w:rPr>
          <w:lang w:val="en-GB"/>
        </w:rPr>
        <w:t xml:space="preserve"> </w:t>
      </w:r>
      <w:r w:rsidRPr="00550AC9">
        <w:rPr>
          <w:lang w:val="en-GB"/>
        </w:rPr>
        <w:t>GIZ</w:t>
      </w:r>
      <w:r w:rsidRPr="00550AC9">
        <w:rPr>
          <w:cs/>
          <w:lang w:val="en-GB"/>
        </w:rPr>
        <w:t>’</w:t>
      </w:r>
      <w:r w:rsidRPr="00550AC9">
        <w:rPr>
          <w:lang w:val="en-GB"/>
        </w:rPr>
        <w:t>s guarantee rights remain unaffected.</w:t>
      </w:r>
    </w:p>
    <w:p w14:paraId="3703D7DF" w14:textId="77777777" w:rsidR="00717481" w:rsidRPr="00550AC9" w:rsidRDefault="00717481" w:rsidP="00E31450">
      <w:pPr>
        <w:jc w:val="both"/>
        <w:rPr>
          <w:lang w:val="en-GB"/>
        </w:rPr>
      </w:pPr>
    </w:p>
    <w:p w14:paraId="27B68681" w14:textId="77777777" w:rsidR="00BD0A66" w:rsidRDefault="00BD0A66" w:rsidP="00E31450">
      <w:pPr>
        <w:jc w:val="both"/>
        <w:rPr>
          <w:lang w:val="en-GB"/>
        </w:rPr>
      </w:pPr>
    </w:p>
    <w:p w14:paraId="22AAFC71" w14:textId="77777777" w:rsidR="00BD0A66" w:rsidRDefault="00BD0A66" w:rsidP="00E31450">
      <w:pPr>
        <w:jc w:val="both"/>
        <w:rPr>
          <w:lang w:val="en-GB"/>
        </w:rPr>
      </w:pPr>
    </w:p>
    <w:p w14:paraId="4807148F" w14:textId="281CF82E" w:rsidR="00717481" w:rsidRPr="00990168" w:rsidRDefault="00990168" w:rsidP="00E31450">
      <w:pPr>
        <w:jc w:val="both"/>
        <w:rPr>
          <w:b/>
          <w:bCs/>
        </w:rPr>
      </w:pPr>
      <w:r>
        <w:rPr>
          <w:b/>
          <w:bCs/>
        </w:rPr>
        <w:t>Services at the place of assignment:</w:t>
      </w:r>
    </w:p>
    <w:p w14:paraId="52AC9288" w14:textId="77777777" w:rsidR="00717481" w:rsidRPr="00550AC9" w:rsidRDefault="00717481" w:rsidP="00E31450">
      <w:pPr>
        <w:jc w:val="both"/>
        <w:rPr>
          <w:lang w:val="en-GB"/>
        </w:rPr>
      </w:pPr>
    </w:p>
    <w:p w14:paraId="660A3ED9" w14:textId="7A69C503" w:rsidR="00BD0A66" w:rsidRPr="008D4043" w:rsidRDefault="00BD0A66" w:rsidP="00BD0A66">
      <w:pPr>
        <w:jc w:val="both"/>
      </w:pPr>
      <w:r w:rsidRPr="00DD2914">
        <w:t xml:space="preserve">In accordance with the </w:t>
      </w:r>
      <w:r w:rsidRPr="008D4043">
        <w:t>technical specification and tender specifications, services are to be provided at the place of assignment.</w:t>
      </w:r>
    </w:p>
    <w:p w14:paraId="3219EAAB" w14:textId="46B80F28" w:rsidR="00BD0A66" w:rsidRPr="00DD2914" w:rsidRDefault="00BD0A66" w:rsidP="00BD0A66">
      <w:pPr>
        <w:jc w:val="both"/>
      </w:pPr>
      <w:r w:rsidRPr="008D4043">
        <w:t>The respective service offered/applicable for installation, commissioning, approval, instruction, training, etc., must include all costs</w:t>
      </w:r>
      <w:r w:rsidRPr="00DD2914">
        <w:t>.</w:t>
      </w:r>
    </w:p>
    <w:p w14:paraId="274C61D0" w14:textId="77777777" w:rsidR="00BD0A66" w:rsidRPr="00DD2914" w:rsidRDefault="00BD0A66" w:rsidP="00BD0A66">
      <w:pPr>
        <w:jc w:val="both"/>
      </w:pPr>
    </w:p>
    <w:p w14:paraId="38512B2D" w14:textId="7E68B36D" w:rsidR="00BD0A66" w:rsidRPr="00DD2914" w:rsidRDefault="00BD0A66" w:rsidP="00BD0A66">
      <w:pPr>
        <w:jc w:val="both"/>
      </w:pPr>
      <w:r w:rsidRPr="00DD2914">
        <w:t xml:space="preserve">including costs for </w:t>
      </w:r>
      <w:r w:rsidR="006336AB">
        <w:t>trave</w:t>
      </w:r>
      <w:r w:rsidR="00BF1DA9">
        <w:t>l expenses</w:t>
      </w:r>
      <w:r w:rsidRPr="00DD2914">
        <w:t xml:space="preserve">, other mobilisation and demobilisation costs (e.g. flight </w:t>
      </w:r>
      <w:r w:rsidR="00BF1DA9">
        <w:t>expenses</w:t>
      </w:r>
      <w:r w:rsidRPr="00DD2914">
        <w:t>, preparation and follow-up costs, documentation, etc.)</w:t>
      </w:r>
    </w:p>
    <w:p w14:paraId="1CF2232F" w14:textId="11B85F80" w:rsidR="00BD0A66" w:rsidRPr="00DD2914" w:rsidRDefault="00BD0A66" w:rsidP="00BD0A66">
      <w:pPr>
        <w:jc w:val="both"/>
      </w:pPr>
      <w:r w:rsidRPr="00DD2914">
        <w:t>including travel</w:t>
      </w:r>
      <w:r w:rsidR="00BF1DA9">
        <w:t>-related</w:t>
      </w:r>
      <w:r w:rsidRPr="00DD2914">
        <w:t xml:space="preserve"> expenses, ancillary travel expenses (visas, medical arrangements, etc.), accommodation costs, meal costs, insurance</w:t>
      </w:r>
    </w:p>
    <w:p w14:paraId="103C80A5" w14:textId="69347190" w:rsidR="00BD0A66" w:rsidRPr="00DD2914" w:rsidRDefault="00BD0A66" w:rsidP="00BD0A66">
      <w:pPr>
        <w:jc w:val="both"/>
      </w:pPr>
      <w:r w:rsidRPr="00DD2914">
        <w:t>including, where applicable, provision and transport of tools, equipment, necessary tools, documents, teaching materials, etc.</w:t>
      </w:r>
    </w:p>
    <w:p w14:paraId="7C1FE0C0" w14:textId="1BF586C5" w:rsidR="00BD0A66" w:rsidRPr="00DD2914" w:rsidRDefault="00BD0A66" w:rsidP="00BD0A66">
      <w:pPr>
        <w:jc w:val="both"/>
      </w:pPr>
      <w:r w:rsidRPr="00DD2914">
        <w:t>including transport for personnel at the place of assignment</w:t>
      </w:r>
    </w:p>
    <w:p w14:paraId="4A870D70" w14:textId="77777777" w:rsidR="00BD0A66" w:rsidRPr="00DD2914" w:rsidRDefault="00BD0A66" w:rsidP="00BD0A66">
      <w:pPr>
        <w:jc w:val="both"/>
      </w:pPr>
    </w:p>
    <w:p w14:paraId="3A1B645E" w14:textId="77777777" w:rsidR="00BD0A66" w:rsidRPr="00DD2914" w:rsidRDefault="00BD0A66" w:rsidP="00BD0A66">
      <w:pPr>
        <w:jc w:val="both"/>
      </w:pPr>
      <w:r w:rsidRPr="00DD2914">
        <w:t>Additional services and associated reimbursements will be recognised only if these:</w:t>
      </w:r>
    </w:p>
    <w:p w14:paraId="47E64C74" w14:textId="77777777" w:rsidR="00BD0A66" w:rsidRPr="00DD2914" w:rsidRDefault="00BD0A66" w:rsidP="00BD0A66">
      <w:pPr>
        <w:pStyle w:val="Listenabsatz"/>
        <w:numPr>
          <w:ilvl w:val="0"/>
          <w:numId w:val="21"/>
        </w:numPr>
        <w:jc w:val="both"/>
        <w:rPr>
          <w:rFonts w:eastAsia="Times New Roman"/>
        </w:rPr>
      </w:pPr>
      <w:r w:rsidRPr="00DD2914">
        <w:rPr>
          <w:rFonts w:eastAsia="Times New Roman"/>
        </w:rPr>
        <w:t xml:space="preserve">Have become necessary through no fault of the contractor or its suppliers </w:t>
      </w:r>
    </w:p>
    <w:p w14:paraId="690FE3F7" w14:textId="77777777" w:rsidR="00BD0A66" w:rsidRPr="00DD2914" w:rsidRDefault="00BD0A66" w:rsidP="00BD0A66">
      <w:pPr>
        <w:pStyle w:val="Listenabsatz"/>
        <w:numPr>
          <w:ilvl w:val="0"/>
          <w:numId w:val="21"/>
        </w:numPr>
        <w:jc w:val="both"/>
        <w:rPr>
          <w:rFonts w:eastAsia="Times New Roman"/>
        </w:rPr>
      </w:pPr>
      <w:r w:rsidRPr="00DD2914">
        <w:rPr>
          <w:rFonts w:eastAsia="Times New Roman"/>
        </w:rPr>
        <w:t xml:space="preserve">The commissioning party is notified immediately </w:t>
      </w:r>
    </w:p>
    <w:p w14:paraId="21A9752A" w14:textId="77777777" w:rsidR="00BD0A66" w:rsidRPr="00DD2914" w:rsidRDefault="00BD0A66" w:rsidP="00BD0A66">
      <w:pPr>
        <w:pStyle w:val="Listenabsatz"/>
        <w:numPr>
          <w:ilvl w:val="0"/>
          <w:numId w:val="21"/>
        </w:numPr>
        <w:jc w:val="both"/>
        <w:rPr>
          <w:rFonts w:eastAsia="Times New Roman"/>
        </w:rPr>
      </w:pPr>
      <w:r w:rsidRPr="00DD2914">
        <w:rPr>
          <w:rFonts w:eastAsia="Times New Roman"/>
        </w:rPr>
        <w:t>The commissioning party has recognised such additional services</w:t>
      </w:r>
    </w:p>
    <w:p w14:paraId="39139D38" w14:textId="77777777" w:rsidR="00717481" w:rsidRPr="00BD0A66" w:rsidRDefault="00717481" w:rsidP="00E31450">
      <w:pPr>
        <w:jc w:val="both"/>
        <w:rPr>
          <w:rStyle w:val="Seitenzahl"/>
        </w:rPr>
      </w:pPr>
    </w:p>
    <w:p w14:paraId="0A8B4292" w14:textId="77777777" w:rsidR="00717481" w:rsidRPr="00550AC9" w:rsidRDefault="00717481" w:rsidP="00E31450">
      <w:pPr>
        <w:jc w:val="both"/>
        <w:rPr>
          <w:rStyle w:val="Seitenzahl"/>
          <w:lang w:val="en-GB"/>
        </w:rPr>
      </w:pPr>
    </w:p>
    <w:p w14:paraId="1B85A37F" w14:textId="7E88AACA" w:rsidR="00717481" w:rsidRPr="00550AC9" w:rsidRDefault="004D1C53" w:rsidP="00630526">
      <w:pPr>
        <w:tabs>
          <w:tab w:val="left" w:pos="3645"/>
        </w:tabs>
        <w:jc w:val="both"/>
        <w:rPr>
          <w:b/>
          <w:lang w:val="en-GB"/>
        </w:rPr>
      </w:pPr>
      <w:r w:rsidRPr="00550AC9">
        <w:rPr>
          <w:b/>
          <w:lang w:val="en-GB"/>
        </w:rPr>
        <w:t>Export licence</w:t>
      </w:r>
      <w:r w:rsidR="00630526">
        <w:rPr>
          <w:b/>
          <w:lang w:val="en-GB"/>
        </w:rPr>
        <w:t>:</w:t>
      </w:r>
    </w:p>
    <w:p w14:paraId="70DE0B69" w14:textId="77777777" w:rsidR="00717481" w:rsidRPr="00550AC9" w:rsidRDefault="00717481" w:rsidP="00E31450">
      <w:pPr>
        <w:jc w:val="both"/>
        <w:rPr>
          <w:lang w:val="en-GB"/>
        </w:rPr>
      </w:pPr>
    </w:p>
    <w:p w14:paraId="4C8728E0" w14:textId="77777777" w:rsidR="00F308FE" w:rsidRPr="008D6A75" w:rsidRDefault="00F308FE" w:rsidP="00F308FE">
      <w:pPr>
        <w:jc w:val="both"/>
        <w:rPr>
          <w:b/>
          <w:bCs/>
        </w:rPr>
      </w:pPr>
      <w:r>
        <w:rPr>
          <w:b/>
        </w:rPr>
        <w:t>Required information when submitting a tender</w:t>
      </w:r>
    </w:p>
    <w:p w14:paraId="7837FDDA" w14:textId="77777777" w:rsidR="00F308FE" w:rsidRDefault="00F308FE" w:rsidP="00F308FE">
      <w:pPr>
        <w:jc w:val="both"/>
      </w:pPr>
      <w:r>
        <w:t xml:space="preserve">Your tender may be taken into consideration when awarding the contract only if you provide information on the following to the client in </w:t>
      </w:r>
      <w:r>
        <w:rPr>
          <w:b/>
        </w:rPr>
        <w:t>Export Controls – Part 1: Classifying Materials and Equipment</w:t>
      </w:r>
      <w:r>
        <w:t xml:space="preserve"> at the time of submission:</w:t>
      </w:r>
    </w:p>
    <w:p w14:paraId="1712844A" w14:textId="77777777" w:rsidR="00F308FE" w:rsidRDefault="00F308FE" w:rsidP="00F308FE">
      <w:pPr>
        <w:jc w:val="both"/>
      </w:pPr>
    </w:p>
    <w:p w14:paraId="3C69DA88" w14:textId="4DDFAA4B" w:rsidR="00F308FE" w:rsidRDefault="00F308FE" w:rsidP="00F308FE">
      <w:pPr>
        <w:pStyle w:val="Listenabsatz"/>
        <w:numPr>
          <w:ilvl w:val="3"/>
          <w:numId w:val="19"/>
        </w:numPr>
        <w:ind w:left="426"/>
        <w:jc w:val="both"/>
      </w:pPr>
      <w:r>
        <w:t>whether the requested products can be exported without a licence and you provide evidence to this effect in the form of a clearance certificate issued by the German Federal Office for Economic Affairs and Export Control (BAFA) at the client’s request. The clearance certificate may be issued by BAFA as information on the list of items (</w:t>
      </w:r>
      <w:r w:rsidRPr="00947BC0">
        <w:rPr>
          <w:i/>
          <w:iCs/>
        </w:rPr>
        <w:t>Auskunft zur Güterliste</w:t>
      </w:r>
      <w:r>
        <w:t>, AzG) or a miscellaneous request (</w:t>
      </w:r>
      <w:r w:rsidRPr="00947BC0">
        <w:rPr>
          <w:i/>
          <w:iCs/>
        </w:rPr>
        <w:t>Sonstige Anfrage</w:t>
      </w:r>
      <w:r>
        <w:t xml:space="preserve">). The clearance certificate must not be more than 12 months old. </w:t>
      </w:r>
    </w:p>
    <w:p w14:paraId="43F17078" w14:textId="77777777" w:rsidR="00F308FE" w:rsidRDefault="00F308FE" w:rsidP="00F308FE">
      <w:pPr>
        <w:pStyle w:val="Listenabsatz"/>
        <w:ind w:left="426"/>
        <w:jc w:val="both"/>
      </w:pPr>
    </w:p>
    <w:p w14:paraId="20747600" w14:textId="77777777" w:rsidR="00F308FE" w:rsidRDefault="00F308FE" w:rsidP="00F308FE">
      <w:pPr>
        <w:jc w:val="both"/>
      </w:pPr>
      <w:r>
        <w:t>If an export licence is required, please indicate whether</w:t>
      </w:r>
    </w:p>
    <w:p w14:paraId="2EDF9FA3" w14:textId="77777777" w:rsidR="00F308FE" w:rsidRPr="00F26DED" w:rsidRDefault="00F308FE" w:rsidP="00F308FE">
      <w:pPr>
        <w:pStyle w:val="Listenabsatz"/>
        <w:numPr>
          <w:ilvl w:val="3"/>
          <w:numId w:val="18"/>
        </w:numPr>
        <w:ind w:left="426"/>
        <w:jc w:val="both"/>
      </w:pPr>
      <w:r>
        <w:lastRenderedPageBreak/>
        <w:t>the product(s) in question require(s) an export licence in accordance with the current applicable version of the export control list (annex to the German Foreign Trade and Payments Ordinance);</w:t>
      </w:r>
    </w:p>
    <w:p w14:paraId="53FC0E8C" w14:textId="77777777" w:rsidR="00F308FE" w:rsidRDefault="00F308FE" w:rsidP="00F308FE">
      <w:pPr>
        <w:pStyle w:val="Listenabsatz"/>
        <w:numPr>
          <w:ilvl w:val="3"/>
          <w:numId w:val="18"/>
        </w:numPr>
        <w:ind w:left="426"/>
        <w:jc w:val="both"/>
      </w:pPr>
      <w:r>
        <w:t>the product(s) in question require(s) an export licence in accordance with the current applicable version of the Dual-Use List (Annex I to the EU Dual-Use Regulation).</w:t>
      </w:r>
    </w:p>
    <w:p w14:paraId="7917994D" w14:textId="77777777" w:rsidR="00F308FE" w:rsidRPr="00E31450" w:rsidRDefault="00F308FE" w:rsidP="00F308FE">
      <w:pPr>
        <w:jc w:val="both"/>
      </w:pPr>
    </w:p>
    <w:p w14:paraId="19612A0B" w14:textId="77777777" w:rsidR="00F308FE" w:rsidRDefault="00F308FE" w:rsidP="00F308FE">
      <w:pPr>
        <w:jc w:val="both"/>
      </w:pPr>
      <w:r>
        <w:t xml:space="preserve">If the recipient country is also a country under embargo, your tender may be taken into consideration only if you inform the client that </w:t>
      </w:r>
    </w:p>
    <w:p w14:paraId="3F96A045" w14:textId="77777777" w:rsidR="00F308FE" w:rsidRPr="004E4EAF" w:rsidRDefault="00F308FE" w:rsidP="00F308FE">
      <w:pPr>
        <w:pStyle w:val="Listenabsatz"/>
        <w:numPr>
          <w:ilvl w:val="3"/>
          <w:numId w:val="19"/>
        </w:numPr>
        <w:ind w:left="426"/>
        <w:jc w:val="both"/>
        <w:rPr>
          <w:rFonts w:asciiTheme="minorHAnsi" w:eastAsiaTheme="minorEastAsia" w:hAnsiTheme="minorHAnsi"/>
        </w:rPr>
      </w:pPr>
      <w:r>
        <w:t>the product(s) in question require(s) an export licence in accordance with the current applicable version of the embargo directive;</w:t>
      </w:r>
    </w:p>
    <w:p w14:paraId="108F3A5B" w14:textId="77777777" w:rsidR="00F308FE" w:rsidRPr="00C6555D" w:rsidRDefault="00F308FE" w:rsidP="00F308FE">
      <w:pPr>
        <w:pStyle w:val="Listenabsatz"/>
        <w:numPr>
          <w:ilvl w:val="3"/>
          <w:numId w:val="19"/>
        </w:numPr>
        <w:ind w:left="426"/>
        <w:jc w:val="both"/>
        <w:rPr>
          <w:rFonts w:asciiTheme="minorHAnsi" w:eastAsiaTheme="minorEastAsia" w:hAnsiTheme="minorHAnsi"/>
        </w:rPr>
      </w:pPr>
      <w:r>
        <w:t>in the case of a negative declaration, you will provide evidence to this effect at the client’s request in the form of a clearance certificate issued by the German Federal Office for Economic Affairs and Export Control (BAFA). The clearance certificate may be issued by BAFA as information on the list of items (</w:t>
      </w:r>
      <w:r w:rsidRPr="00947BC0">
        <w:rPr>
          <w:i/>
          <w:iCs/>
        </w:rPr>
        <w:t>Auskunft zur Güterliste</w:t>
      </w:r>
      <w:r>
        <w:t>, AzG) or a miscellaneous request (</w:t>
      </w:r>
      <w:r w:rsidRPr="00947BC0">
        <w:rPr>
          <w:i/>
          <w:iCs/>
        </w:rPr>
        <w:t>Sonstige Anfrage</w:t>
      </w:r>
      <w:r>
        <w:t>). The clearance certificate must not be more than six months old.</w:t>
      </w:r>
    </w:p>
    <w:p w14:paraId="61BE6CE1" w14:textId="77777777" w:rsidR="00F308FE" w:rsidRDefault="00F308FE" w:rsidP="00F308FE">
      <w:pPr>
        <w:ind w:left="66"/>
        <w:jc w:val="both"/>
      </w:pPr>
    </w:p>
    <w:p w14:paraId="6163D9F0" w14:textId="77777777" w:rsidR="00F308FE" w:rsidRDefault="00F308FE" w:rsidP="00F308FE">
      <w:pPr>
        <w:ind w:left="66"/>
        <w:jc w:val="both"/>
      </w:pPr>
      <w:r>
        <w:t>This information has to be confirmed by signature.</w:t>
      </w:r>
    </w:p>
    <w:p w14:paraId="4EACC319" w14:textId="77777777" w:rsidR="00F308FE" w:rsidRPr="008E36BE" w:rsidRDefault="00F308FE" w:rsidP="00F308FE">
      <w:pPr>
        <w:ind w:left="66"/>
        <w:jc w:val="both"/>
      </w:pPr>
    </w:p>
    <w:p w14:paraId="54C57A09" w14:textId="780A94A0" w:rsidR="00F308FE" w:rsidRPr="00B320FF" w:rsidRDefault="00F308FE" w:rsidP="00F308FE">
      <w:pPr>
        <w:jc w:val="both"/>
        <w:rPr>
          <w:b/>
          <w:bCs/>
        </w:rPr>
      </w:pPr>
      <w:r>
        <w:rPr>
          <w:b/>
        </w:rPr>
        <w:t>Information required when the contract is awarded</w:t>
      </w:r>
      <w:r w:rsidR="00630526">
        <w:rPr>
          <w:b/>
        </w:rPr>
        <w:t>:</w:t>
      </w:r>
    </w:p>
    <w:p w14:paraId="36E790F3" w14:textId="77777777" w:rsidR="00F308FE" w:rsidRDefault="00F308FE" w:rsidP="00F308FE">
      <w:pPr>
        <w:jc w:val="both"/>
      </w:pPr>
      <w:r>
        <w:t xml:space="preserve">If products requiring an export licence are involved, the </w:t>
      </w:r>
      <w:r>
        <w:rPr>
          <w:b/>
          <w:bCs/>
        </w:rPr>
        <w:t>Export Controls – Part 2 questionnaire</w:t>
      </w:r>
      <w:r>
        <w:t xml:space="preserve"> must also be completed in full when the contract is awarded and returned signed to the client within a week of receipt at the latest.</w:t>
      </w:r>
    </w:p>
    <w:p w14:paraId="6CB08068" w14:textId="77777777" w:rsidR="00F308FE" w:rsidRDefault="00F308FE" w:rsidP="00F308FE">
      <w:pPr>
        <w:jc w:val="both"/>
      </w:pPr>
    </w:p>
    <w:p w14:paraId="4A3B1695" w14:textId="77777777" w:rsidR="00F308FE" w:rsidRDefault="00F308FE" w:rsidP="00F308FE">
      <w:pPr>
        <w:jc w:val="both"/>
      </w:pPr>
      <w:r>
        <w:t xml:space="preserve">GIZ, as the exporter, will use the information you provide to apply to BAFA for the export licence. </w:t>
      </w:r>
    </w:p>
    <w:p w14:paraId="57DE3542" w14:textId="77777777" w:rsidR="00F308FE" w:rsidRPr="008237D6" w:rsidRDefault="00F308FE" w:rsidP="00F308FE">
      <w:pPr>
        <w:jc w:val="both"/>
        <w:rPr>
          <w:rFonts w:eastAsia="Arial"/>
        </w:rPr>
      </w:pPr>
      <w:r>
        <w:t>The client reserves the right to withdraw from the purchase agreement if the contractor omits information or provides incorrect or incomplete details regarding the obligation to obtain a licence for the goods or if the German Federal Office for Economic Affairs and Export Control (BAFA) refuses to grant an export licence.</w:t>
      </w:r>
      <w:r>
        <w:rPr>
          <w:color w:val="000000" w:themeColor="text1"/>
        </w:rPr>
        <w:t xml:space="preserve"> In case of withdrawal, GIZ shall be released from any obligation (of a contractual or any other nature) to you.</w:t>
      </w:r>
    </w:p>
    <w:p w14:paraId="02AE0ABC" w14:textId="77777777" w:rsidR="00F308FE" w:rsidRPr="008E36BE" w:rsidRDefault="00F308FE" w:rsidP="00F308FE">
      <w:pPr>
        <w:jc w:val="both"/>
      </w:pPr>
    </w:p>
    <w:p w14:paraId="45AC6769" w14:textId="77777777" w:rsidR="00717481" w:rsidRPr="00550AC9" w:rsidRDefault="00717481" w:rsidP="00E31450">
      <w:pPr>
        <w:jc w:val="both"/>
        <w:rPr>
          <w:lang w:val="en-GB"/>
        </w:rPr>
      </w:pPr>
    </w:p>
    <w:p w14:paraId="020808A1" w14:textId="5C0CF0CE" w:rsidR="00717481" w:rsidRPr="00550AC9" w:rsidRDefault="004D1C53" w:rsidP="00E31450">
      <w:pPr>
        <w:jc w:val="both"/>
        <w:rPr>
          <w:lang w:val="en-GB"/>
        </w:rPr>
      </w:pPr>
      <w:r w:rsidRPr="00550AC9">
        <w:rPr>
          <w:b/>
          <w:lang w:val="en-GB"/>
        </w:rPr>
        <w:t>Refrigerated goods</w:t>
      </w:r>
      <w:r w:rsidR="00630526">
        <w:rPr>
          <w:b/>
          <w:lang w:val="en-GB"/>
        </w:rPr>
        <w:t>:</w:t>
      </w:r>
    </w:p>
    <w:p w14:paraId="093FC808" w14:textId="77777777" w:rsidR="00717481" w:rsidRPr="00550AC9" w:rsidRDefault="00717481" w:rsidP="00E31450">
      <w:pPr>
        <w:jc w:val="both"/>
        <w:rPr>
          <w:lang w:val="en-GB"/>
        </w:rPr>
      </w:pPr>
    </w:p>
    <w:p w14:paraId="6EE98F95" w14:textId="3F22A870" w:rsidR="00717481" w:rsidRPr="00550AC9" w:rsidRDefault="007E6C64" w:rsidP="00E31450">
      <w:pPr>
        <w:jc w:val="both"/>
        <w:rPr>
          <w:lang w:val="en-GB"/>
        </w:rPr>
      </w:pPr>
      <w:r>
        <w:rPr>
          <w:lang w:val="en-GB"/>
        </w:rPr>
        <w:t>If the contractor’s</w:t>
      </w:r>
      <w:r w:rsidR="004D1C53" w:rsidRPr="00550AC9">
        <w:rPr>
          <w:lang w:val="en-GB"/>
        </w:rPr>
        <w:t xml:space="preserve"> bid includes refrigerated goods, these must be clearly </w:t>
      </w:r>
      <w:r w:rsidR="00B134B6" w:rsidRPr="00550AC9">
        <w:rPr>
          <w:lang w:val="en-GB"/>
        </w:rPr>
        <w:t>labelled</w:t>
      </w:r>
      <w:r w:rsidR="004D1C53" w:rsidRPr="00550AC9">
        <w:rPr>
          <w:lang w:val="en-GB"/>
        </w:rPr>
        <w:t xml:space="preserve">. Please submit a suitable packaging proposal to GIZ, </w:t>
      </w:r>
      <w:r w:rsidR="007D6AB1" w:rsidRPr="00550AC9">
        <w:rPr>
          <w:lang w:val="en-GB"/>
        </w:rPr>
        <w:t>considering</w:t>
      </w:r>
      <w:r w:rsidR="004D1C53" w:rsidRPr="00550AC9">
        <w:rPr>
          <w:lang w:val="en-GB"/>
        </w:rPr>
        <w:t xml:space="preserve"> a possible storage period of several days that may be required at the destination. </w:t>
      </w:r>
      <w:r>
        <w:rPr>
          <w:lang w:val="en-GB"/>
        </w:rPr>
        <w:t>The contractor</w:t>
      </w:r>
      <w:r w:rsidRPr="00550AC9">
        <w:rPr>
          <w:lang w:val="en-GB"/>
        </w:rPr>
        <w:t xml:space="preserve"> </w:t>
      </w:r>
      <w:r w:rsidR="004D1C53" w:rsidRPr="00550AC9">
        <w:rPr>
          <w:lang w:val="en-GB"/>
        </w:rPr>
        <w:t xml:space="preserve">must also state the </w:t>
      </w:r>
      <w:r>
        <w:rPr>
          <w:lang w:val="en-GB"/>
        </w:rPr>
        <w:t>expiration</w:t>
      </w:r>
      <w:r w:rsidR="004D1C53" w:rsidRPr="00550AC9">
        <w:rPr>
          <w:lang w:val="en-GB"/>
        </w:rPr>
        <w:t xml:space="preserve"> date if the product has a </w:t>
      </w:r>
      <w:r>
        <w:rPr>
          <w:lang w:val="en-GB"/>
        </w:rPr>
        <w:t>shelf</w:t>
      </w:r>
      <w:r w:rsidR="004D1C53" w:rsidRPr="00550AC9">
        <w:rPr>
          <w:lang w:val="en-GB"/>
        </w:rPr>
        <w:t xml:space="preserve"> life of under one year.</w:t>
      </w:r>
      <w:r w:rsidR="007D6AB1">
        <w:rPr>
          <w:lang w:val="en-GB"/>
        </w:rPr>
        <w:t xml:space="preserve"> It is mandatory that the required temperature range is clearly noted on the shipping documents and the package itself.</w:t>
      </w:r>
    </w:p>
    <w:p w14:paraId="11362C33" w14:textId="77777777" w:rsidR="00717481" w:rsidRPr="00550AC9" w:rsidRDefault="00717481" w:rsidP="00E31450">
      <w:pPr>
        <w:jc w:val="both"/>
        <w:rPr>
          <w:lang w:val="en-GB"/>
        </w:rPr>
      </w:pPr>
    </w:p>
    <w:p w14:paraId="664A6C6D" w14:textId="77777777" w:rsidR="00717481" w:rsidRPr="00550AC9" w:rsidRDefault="00717481" w:rsidP="00E31450">
      <w:pPr>
        <w:jc w:val="both"/>
        <w:rPr>
          <w:rStyle w:val="Seitenzahl"/>
          <w:lang w:val="en-GB"/>
        </w:rPr>
      </w:pPr>
    </w:p>
    <w:p w14:paraId="502E91E0" w14:textId="777EFE8D" w:rsidR="00717481" w:rsidRPr="00550AC9" w:rsidRDefault="004D1C53" w:rsidP="00E31450">
      <w:pPr>
        <w:jc w:val="both"/>
        <w:rPr>
          <w:b/>
          <w:lang w:val="en-GB"/>
        </w:rPr>
      </w:pPr>
      <w:r w:rsidRPr="00550AC9">
        <w:rPr>
          <w:b/>
          <w:lang w:val="en-GB"/>
        </w:rPr>
        <w:t>Hazardous goods</w:t>
      </w:r>
      <w:r w:rsidR="00630526">
        <w:rPr>
          <w:b/>
          <w:lang w:val="en-GB"/>
        </w:rPr>
        <w:t>:</w:t>
      </w:r>
    </w:p>
    <w:p w14:paraId="259F1704" w14:textId="77777777" w:rsidR="00717481" w:rsidRPr="00550AC9" w:rsidRDefault="00717481" w:rsidP="00E31450">
      <w:pPr>
        <w:jc w:val="both"/>
        <w:rPr>
          <w:lang w:val="en-GB"/>
        </w:rPr>
      </w:pPr>
    </w:p>
    <w:p w14:paraId="6342C9B8" w14:textId="5AC7535F" w:rsidR="00717481" w:rsidRPr="00550AC9" w:rsidRDefault="00172339" w:rsidP="00E31450">
      <w:pPr>
        <w:jc w:val="both"/>
        <w:rPr>
          <w:lang w:val="en-GB"/>
        </w:rPr>
      </w:pPr>
      <w:r>
        <w:rPr>
          <w:lang w:val="en-GB"/>
        </w:rPr>
        <w:t>If the contractor’s</w:t>
      </w:r>
      <w:r w:rsidR="004D1C53" w:rsidRPr="00550AC9">
        <w:rPr>
          <w:lang w:val="en-GB"/>
        </w:rPr>
        <w:t xml:space="preserve"> bid covers hazardous goods as defined in the relevant transport regulations, </w:t>
      </w:r>
      <w:r>
        <w:rPr>
          <w:lang w:val="en-GB"/>
        </w:rPr>
        <w:t>the contractor</w:t>
      </w:r>
      <w:r w:rsidRPr="00550AC9">
        <w:rPr>
          <w:lang w:val="en-GB"/>
        </w:rPr>
        <w:t xml:space="preserve"> </w:t>
      </w:r>
      <w:r w:rsidR="004D1C53" w:rsidRPr="00550AC9">
        <w:rPr>
          <w:lang w:val="en-GB"/>
        </w:rPr>
        <w:t>must:</w:t>
      </w:r>
    </w:p>
    <w:p w14:paraId="14418CCF" w14:textId="77777777" w:rsidR="00717481" w:rsidRPr="00550AC9" w:rsidRDefault="004D1C53" w:rsidP="00E31450">
      <w:pPr>
        <w:jc w:val="both"/>
        <w:rPr>
          <w:lang w:val="en-GB"/>
        </w:rPr>
      </w:pPr>
      <w:r w:rsidRPr="00550AC9">
        <w:rPr>
          <w:lang w:val="en-GB"/>
        </w:rPr>
        <w:t>- identify the goods as hazardous in accordance with the binding guidelines;</w:t>
      </w:r>
    </w:p>
    <w:p w14:paraId="31C3A96E" w14:textId="1F70977F" w:rsidR="00717481" w:rsidRPr="00550AC9" w:rsidRDefault="004D1C53" w:rsidP="00E31450">
      <w:pPr>
        <w:jc w:val="both"/>
        <w:rPr>
          <w:lang w:val="en-GB"/>
        </w:rPr>
      </w:pPr>
      <w:r w:rsidRPr="00550AC9">
        <w:rPr>
          <w:lang w:val="en-GB"/>
        </w:rPr>
        <w:t>- specify the hazard class/number/UN number</w:t>
      </w:r>
      <w:r w:rsidR="007A5D8B" w:rsidRPr="00550AC9">
        <w:rPr>
          <w:lang w:val="en-GB"/>
        </w:rPr>
        <w:t>;</w:t>
      </w:r>
    </w:p>
    <w:p w14:paraId="3A47BEB2" w14:textId="77777777" w:rsidR="00717481" w:rsidRPr="00550AC9" w:rsidRDefault="004D1C53" w:rsidP="00E31450">
      <w:pPr>
        <w:jc w:val="both"/>
        <w:rPr>
          <w:lang w:val="en-GB"/>
        </w:rPr>
      </w:pPr>
      <w:r w:rsidRPr="00550AC9">
        <w:rPr>
          <w:lang w:val="en-GB"/>
        </w:rPr>
        <w:t>- specify the packaging required</w:t>
      </w:r>
      <w:r w:rsidR="007A5D8B" w:rsidRPr="00550AC9">
        <w:rPr>
          <w:lang w:val="en-GB"/>
        </w:rPr>
        <w:t>;</w:t>
      </w:r>
      <w:r w:rsidRPr="00550AC9">
        <w:rPr>
          <w:lang w:val="en-GB"/>
        </w:rPr>
        <w:t xml:space="preserve"> and</w:t>
      </w:r>
    </w:p>
    <w:p w14:paraId="6D6B956B" w14:textId="1D05C755" w:rsidR="00717481" w:rsidRPr="00550AC9" w:rsidRDefault="004D1C53" w:rsidP="00E31450">
      <w:pPr>
        <w:jc w:val="both"/>
        <w:rPr>
          <w:lang w:val="en-GB"/>
        </w:rPr>
      </w:pPr>
      <w:r w:rsidRPr="00550AC9">
        <w:rPr>
          <w:lang w:val="en-GB"/>
        </w:rPr>
        <w:t xml:space="preserve">- </w:t>
      </w:r>
      <w:r w:rsidR="00864507">
        <w:rPr>
          <w:lang w:val="en-GB"/>
        </w:rPr>
        <w:t xml:space="preserve">it is mandatory to </w:t>
      </w:r>
      <w:r w:rsidRPr="00550AC9">
        <w:rPr>
          <w:lang w:val="en-GB"/>
        </w:rPr>
        <w:t>provide safety data sheets for the hazardous goods.</w:t>
      </w:r>
    </w:p>
    <w:p w14:paraId="53501325" w14:textId="77777777" w:rsidR="00717481" w:rsidRPr="00550AC9" w:rsidRDefault="00717481" w:rsidP="00E31450">
      <w:pPr>
        <w:jc w:val="both"/>
        <w:rPr>
          <w:lang w:val="en-GB"/>
        </w:rPr>
      </w:pPr>
    </w:p>
    <w:p w14:paraId="41FB5439" w14:textId="2BD637CF" w:rsidR="00717481" w:rsidRPr="00550AC9" w:rsidRDefault="000A7DEA" w:rsidP="00E31450">
      <w:pPr>
        <w:jc w:val="both"/>
        <w:rPr>
          <w:lang w:val="en-GB"/>
        </w:rPr>
      </w:pPr>
      <w:r>
        <w:rPr>
          <w:lang w:val="en-GB"/>
        </w:rPr>
        <w:t>The contractor is</w:t>
      </w:r>
      <w:r w:rsidR="004D1C53" w:rsidRPr="00550AC9">
        <w:rPr>
          <w:lang w:val="en-GB"/>
        </w:rPr>
        <w:t xml:space="preserve"> obliged to notify GIZ if the hazardous goods are not licensed for the desired mode of transport</w:t>
      </w:r>
      <w:r w:rsidR="005B36A1">
        <w:rPr>
          <w:lang w:val="en-GB"/>
        </w:rPr>
        <w:t>ation</w:t>
      </w:r>
      <w:r w:rsidR="004D1C53" w:rsidRPr="00550AC9">
        <w:rPr>
          <w:lang w:val="en-GB"/>
        </w:rPr>
        <w:t>; any ban on loading the consignment together with another consignment of goods must also be taken into account.</w:t>
      </w:r>
    </w:p>
    <w:p w14:paraId="61DAEA1E" w14:textId="77777777" w:rsidR="00717481" w:rsidRPr="00550AC9" w:rsidRDefault="00717481" w:rsidP="00E31450">
      <w:pPr>
        <w:jc w:val="both"/>
        <w:rPr>
          <w:lang w:val="en-GB"/>
        </w:rPr>
      </w:pPr>
    </w:p>
    <w:p w14:paraId="265471D1" w14:textId="5427C0F0" w:rsidR="00717481" w:rsidRPr="00550AC9" w:rsidRDefault="004D1C53" w:rsidP="00E31450">
      <w:pPr>
        <w:jc w:val="both"/>
        <w:rPr>
          <w:rStyle w:val="Seitenzahl"/>
          <w:lang w:val="en-GB"/>
        </w:rPr>
      </w:pPr>
      <w:r w:rsidRPr="00550AC9">
        <w:rPr>
          <w:lang w:val="en-GB"/>
        </w:rPr>
        <w:t xml:space="preserve">Important note: </w:t>
      </w:r>
      <w:r w:rsidR="00550AC9">
        <w:rPr>
          <w:lang w:val="en-GB"/>
        </w:rPr>
        <w:t>s</w:t>
      </w:r>
      <w:r w:rsidR="00550AC9" w:rsidRPr="00550AC9">
        <w:rPr>
          <w:lang w:val="en-GB"/>
        </w:rPr>
        <w:t xml:space="preserve">tandard </w:t>
      </w:r>
      <w:r w:rsidRPr="00550AC9">
        <w:rPr>
          <w:lang w:val="en-GB"/>
        </w:rPr>
        <w:t>and rechargeable batteries (either loose or installed in equipment) are also class</w:t>
      </w:r>
      <w:r w:rsidR="00CB0E7B">
        <w:rPr>
          <w:lang w:val="en-GB"/>
        </w:rPr>
        <w:t>ified</w:t>
      </w:r>
      <w:r w:rsidRPr="00550AC9">
        <w:rPr>
          <w:lang w:val="en-GB"/>
        </w:rPr>
        <w:t xml:space="preserve"> as hazardous goods!</w:t>
      </w:r>
    </w:p>
    <w:p w14:paraId="1370494F" w14:textId="77777777" w:rsidR="00717481" w:rsidRDefault="00717481" w:rsidP="00433CCE">
      <w:pPr>
        <w:jc w:val="both"/>
        <w:rPr>
          <w:rStyle w:val="Seitenzahl"/>
          <w:lang w:val="en-GB"/>
        </w:rPr>
      </w:pPr>
    </w:p>
    <w:sectPr w:rsidR="00717481" w:rsidSect="00112883">
      <w:headerReference w:type="default" r:id="rId14"/>
      <w:footerReference w:type="default" r:id="rId15"/>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8593" w14:textId="77777777" w:rsidR="008C7154" w:rsidRDefault="008C7154" w:rsidP="00A637D0">
      <w:r>
        <w:separator/>
      </w:r>
    </w:p>
  </w:endnote>
  <w:endnote w:type="continuationSeparator" w:id="0">
    <w:p w14:paraId="12DDEE08" w14:textId="77777777" w:rsidR="008C7154" w:rsidRDefault="008C7154" w:rsidP="00A637D0">
      <w:r>
        <w:continuationSeparator/>
      </w:r>
    </w:p>
  </w:endnote>
  <w:endnote w:type="continuationNotice" w:id="1">
    <w:p w14:paraId="3AAF285C" w14:textId="77777777" w:rsidR="008C7154" w:rsidRDefault="008C7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625191" w:rsidRPr="001263E6" w14:paraId="52707D13" w14:textId="77777777" w:rsidTr="001263E6">
      <w:tc>
        <w:tcPr>
          <w:tcW w:w="1329" w:type="pct"/>
        </w:tcPr>
        <w:p w14:paraId="1CCAD581" w14:textId="77777777" w:rsidR="00717481" w:rsidRPr="001263E6" w:rsidRDefault="00717481" w:rsidP="001263E6">
          <w:pPr>
            <w:pStyle w:val="Fuzeile"/>
            <w:tabs>
              <w:tab w:val="clear" w:pos="4536"/>
              <w:tab w:val="clear" w:pos="9072"/>
            </w:tabs>
            <w:rPr>
              <w:rFonts w:eastAsia="Times New Roman" w:cs="Times New Roman"/>
              <w:sz w:val="18"/>
              <w:szCs w:val="18"/>
            </w:rPr>
          </w:pPr>
        </w:p>
      </w:tc>
      <w:tc>
        <w:tcPr>
          <w:tcW w:w="2266" w:type="pct"/>
        </w:tcPr>
        <w:p w14:paraId="2C6D8A4F" w14:textId="3B9442D6" w:rsidR="00717481" w:rsidRPr="001263E6" w:rsidRDefault="00F23EFC" w:rsidP="001263E6">
          <w:pPr>
            <w:pStyle w:val="Fuzeile"/>
            <w:tabs>
              <w:tab w:val="clear" w:pos="4536"/>
              <w:tab w:val="clear" w:pos="9072"/>
            </w:tabs>
            <w:jc w:val="center"/>
            <w:rPr>
              <w:rFonts w:eastAsia="Times New Roman" w:cs="Times New Roman"/>
              <w:sz w:val="18"/>
              <w:szCs w:val="18"/>
            </w:rPr>
          </w:pPr>
          <w:r w:rsidRPr="00F23EFC">
            <w:rPr>
              <w:rFonts w:eastAsia="Times New Roman" w:cs="Times New Roman"/>
              <w:sz w:val="18"/>
              <w:szCs w:val="18"/>
            </w:rPr>
            <w:t xml:space="preserve">latest version as of </w:t>
          </w:r>
          <w:r w:rsidR="00A6689F">
            <w:rPr>
              <w:rFonts w:eastAsia="Times New Roman" w:cs="Times New Roman"/>
              <w:sz w:val="18"/>
              <w:szCs w:val="18"/>
            </w:rPr>
            <w:t>December</w:t>
          </w:r>
          <w:r w:rsidR="0018022C">
            <w:rPr>
              <w:rFonts w:eastAsia="Times New Roman" w:cs="Times New Roman"/>
              <w:sz w:val="18"/>
              <w:szCs w:val="18"/>
            </w:rPr>
            <w:t xml:space="preserve"> 202</w:t>
          </w:r>
          <w:r w:rsidR="00A6689F">
            <w:rPr>
              <w:rFonts w:eastAsia="Times New Roman" w:cs="Times New Roman"/>
              <w:sz w:val="18"/>
              <w:szCs w:val="18"/>
            </w:rPr>
            <w:t>6</w:t>
          </w:r>
        </w:p>
      </w:tc>
      <w:tc>
        <w:tcPr>
          <w:tcW w:w="1405" w:type="pct"/>
        </w:tcPr>
        <w:p w14:paraId="015FC761" w14:textId="59368FA1" w:rsidR="00717481" w:rsidRPr="001263E6" w:rsidRDefault="004D1C53" w:rsidP="001263E6">
          <w:pPr>
            <w:pStyle w:val="Fuzeile"/>
            <w:tabs>
              <w:tab w:val="clear" w:pos="4536"/>
              <w:tab w:val="clear" w:pos="9072"/>
            </w:tabs>
            <w:ind w:right="57"/>
            <w:jc w:val="right"/>
            <w:rPr>
              <w:rFonts w:eastAsia="Times New Roman" w:cs="Times New Roman"/>
              <w:sz w:val="18"/>
              <w:szCs w:val="18"/>
            </w:rPr>
          </w:pPr>
          <w:r>
            <w:rPr>
              <w:rStyle w:val="Seitenzahl"/>
              <w:sz w:val="18"/>
            </w:rPr>
            <w:t>Page </w:t>
          </w:r>
          <w:r w:rsidR="00E6189F">
            <w:rPr>
              <w:rStyle w:val="Seitenzahl"/>
              <w:sz w:val="18"/>
            </w:rPr>
            <w:fldChar w:fldCharType="begin"/>
          </w:r>
          <w:r>
            <w:rPr>
              <w:rStyle w:val="Seitenzahl"/>
              <w:sz w:val="18"/>
            </w:rPr>
            <w:instrText xml:space="preserve"> PAGE  </w:instrText>
          </w:r>
          <w:r w:rsidR="00E6189F">
            <w:rPr>
              <w:rStyle w:val="Seitenzahl"/>
              <w:sz w:val="18"/>
            </w:rPr>
            <w:fldChar w:fldCharType="separate"/>
          </w:r>
          <w:r w:rsidR="002F3233">
            <w:rPr>
              <w:rStyle w:val="Seitenzahl"/>
              <w:noProof/>
              <w:sz w:val="18"/>
            </w:rPr>
            <w:t>5</w:t>
          </w:r>
          <w:r w:rsidR="00E6189F">
            <w:rPr>
              <w:rStyle w:val="Seitenzahl"/>
              <w:sz w:val="18"/>
            </w:rPr>
            <w:fldChar w:fldCharType="end"/>
          </w:r>
        </w:p>
      </w:tc>
    </w:tr>
  </w:tbl>
  <w:p w14:paraId="407B1B85" w14:textId="77777777" w:rsidR="00717481" w:rsidRPr="00165E31" w:rsidRDefault="00717481" w:rsidP="00165E31">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792D" w14:textId="77777777" w:rsidR="008C7154" w:rsidRDefault="008C7154" w:rsidP="00A637D0">
      <w:r>
        <w:separator/>
      </w:r>
    </w:p>
  </w:footnote>
  <w:footnote w:type="continuationSeparator" w:id="0">
    <w:p w14:paraId="139714DF" w14:textId="77777777" w:rsidR="008C7154" w:rsidRDefault="008C7154" w:rsidP="00A637D0">
      <w:r>
        <w:continuationSeparator/>
      </w:r>
    </w:p>
  </w:footnote>
  <w:footnote w:type="continuationNotice" w:id="1">
    <w:p w14:paraId="2DAE04F1" w14:textId="77777777" w:rsidR="008C7154" w:rsidRDefault="008C7154"/>
  </w:footnote>
  <w:footnote w:id="2">
    <w:p w14:paraId="1CA1D826" w14:textId="77777777" w:rsidR="00C126B5" w:rsidRDefault="00C126B5" w:rsidP="00C126B5">
      <w:pPr>
        <w:pStyle w:val="Funotentext"/>
      </w:pPr>
      <w:r>
        <w:rPr>
          <w:rStyle w:val="Funotenzeichen"/>
        </w:rPr>
        <w:footnoteRef/>
      </w:r>
      <w:r>
        <w:t xml:space="preserve"> See in particular EU Council Regulations No.: 833/2014, 692/2014, 2022/263, 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1263E6" w14:paraId="5FA8DFAE" w14:textId="77777777" w:rsidTr="001263E6">
      <w:tc>
        <w:tcPr>
          <w:tcW w:w="3497" w:type="pct"/>
        </w:tcPr>
        <w:p w14:paraId="468D18B5" w14:textId="7AC475A0" w:rsidR="00717481" w:rsidRPr="0043077F" w:rsidRDefault="0043077F" w:rsidP="001263E6">
          <w:pPr>
            <w:pStyle w:val="Kopfzeile"/>
            <w:tabs>
              <w:tab w:val="clear" w:pos="4536"/>
              <w:tab w:val="clear" w:pos="9072"/>
              <w:tab w:val="right" w:pos="9356"/>
            </w:tabs>
            <w:spacing w:before="660"/>
            <w:rPr>
              <w:rFonts w:eastAsia="Times New Roman" w:cs="Times New Roman"/>
              <w:sz w:val="24"/>
              <w:szCs w:val="24"/>
            </w:rPr>
          </w:pPr>
          <w:r>
            <w:rPr>
              <w:rFonts w:eastAsia="Times New Roman" w:cs="Times New Roman"/>
              <w:sz w:val="24"/>
              <w:szCs w:val="24"/>
            </w:rPr>
            <w:t>CONFIDENTIAL</w:t>
          </w:r>
        </w:p>
      </w:tc>
      <w:tc>
        <w:tcPr>
          <w:tcW w:w="1503" w:type="pct"/>
        </w:tcPr>
        <w:p w14:paraId="2DF9B531" w14:textId="65ECEBF1" w:rsidR="00717481" w:rsidRPr="001263E6" w:rsidRDefault="00570D2A" w:rsidP="001263E6">
          <w:pPr>
            <w:pStyle w:val="Kopfzeile"/>
            <w:tabs>
              <w:tab w:val="clear" w:pos="4536"/>
              <w:tab w:val="clear" w:pos="9072"/>
              <w:tab w:val="right" w:pos="9356"/>
            </w:tabs>
            <w:ind w:right="-227"/>
            <w:jc w:val="right"/>
            <w:rPr>
              <w:rFonts w:eastAsia="Times New Roman" w:cs="Times New Roman"/>
              <w:sz w:val="20"/>
              <w:szCs w:val="20"/>
            </w:rPr>
          </w:pPr>
          <w:r>
            <w:rPr>
              <w:b/>
              <w:noProof/>
              <w:sz w:val="24"/>
              <w:lang w:val="de-DE" w:eastAsia="de-DE"/>
            </w:rPr>
            <w:drawing>
              <wp:inline distT="0" distB="0" distL="0" distR="0" wp14:anchorId="6A0B8EF9" wp14:editId="451C3368">
                <wp:extent cx="1733550" cy="7156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15645"/>
                        </a:xfrm>
                        <a:prstGeom prst="rect">
                          <a:avLst/>
                        </a:prstGeom>
                        <a:noFill/>
                        <a:ln>
                          <a:noFill/>
                        </a:ln>
                      </pic:spPr>
                    </pic:pic>
                  </a:graphicData>
                </a:graphic>
              </wp:inline>
            </w:drawing>
          </w:r>
        </w:p>
      </w:tc>
    </w:tr>
  </w:tbl>
  <w:p w14:paraId="6C9A0FF8" w14:textId="77777777" w:rsidR="00717481" w:rsidRPr="00165E31" w:rsidRDefault="00717481"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AC2BC0"/>
    <w:multiLevelType w:val="hybridMultilevel"/>
    <w:tmpl w:val="345AE352"/>
    <w:lvl w:ilvl="0" w:tplc="78FE0A44">
      <w:start w:val="1"/>
      <w:numFmt w:val="bullet"/>
      <w:lvlText w:val=""/>
      <w:lvlJc w:val="left"/>
      <w:pPr>
        <w:ind w:left="360" w:hanging="360"/>
      </w:pPr>
      <w:rPr>
        <w:rFonts w:ascii="Symbol" w:hAnsi="Symbol" w:hint="default"/>
      </w:rPr>
    </w:lvl>
    <w:lvl w:ilvl="1" w:tplc="1DC0B4CA" w:tentative="1">
      <w:start w:val="1"/>
      <w:numFmt w:val="bullet"/>
      <w:lvlText w:val="o"/>
      <w:lvlJc w:val="left"/>
      <w:pPr>
        <w:ind w:left="1080" w:hanging="360"/>
      </w:pPr>
      <w:rPr>
        <w:rFonts w:ascii="Courier New" w:hAnsi="Courier New" w:cs="Courier New" w:hint="default"/>
      </w:rPr>
    </w:lvl>
    <w:lvl w:ilvl="2" w:tplc="4A32B36A" w:tentative="1">
      <w:start w:val="1"/>
      <w:numFmt w:val="bullet"/>
      <w:lvlText w:val=""/>
      <w:lvlJc w:val="left"/>
      <w:pPr>
        <w:ind w:left="1800" w:hanging="360"/>
      </w:pPr>
      <w:rPr>
        <w:rFonts w:ascii="Wingdings" w:hAnsi="Wingdings" w:hint="default"/>
      </w:rPr>
    </w:lvl>
    <w:lvl w:ilvl="3" w:tplc="995CD2B2" w:tentative="1">
      <w:start w:val="1"/>
      <w:numFmt w:val="bullet"/>
      <w:lvlText w:val=""/>
      <w:lvlJc w:val="left"/>
      <w:pPr>
        <w:ind w:left="2520" w:hanging="360"/>
      </w:pPr>
      <w:rPr>
        <w:rFonts w:ascii="Symbol" w:hAnsi="Symbol" w:hint="default"/>
      </w:rPr>
    </w:lvl>
    <w:lvl w:ilvl="4" w:tplc="7D906914" w:tentative="1">
      <w:start w:val="1"/>
      <w:numFmt w:val="bullet"/>
      <w:lvlText w:val="o"/>
      <w:lvlJc w:val="left"/>
      <w:pPr>
        <w:ind w:left="3240" w:hanging="360"/>
      </w:pPr>
      <w:rPr>
        <w:rFonts w:ascii="Courier New" w:hAnsi="Courier New" w:cs="Courier New" w:hint="default"/>
      </w:rPr>
    </w:lvl>
    <w:lvl w:ilvl="5" w:tplc="8D28A5E6" w:tentative="1">
      <w:start w:val="1"/>
      <w:numFmt w:val="bullet"/>
      <w:lvlText w:val=""/>
      <w:lvlJc w:val="left"/>
      <w:pPr>
        <w:ind w:left="3960" w:hanging="360"/>
      </w:pPr>
      <w:rPr>
        <w:rFonts w:ascii="Wingdings" w:hAnsi="Wingdings" w:hint="default"/>
      </w:rPr>
    </w:lvl>
    <w:lvl w:ilvl="6" w:tplc="E3D03D74" w:tentative="1">
      <w:start w:val="1"/>
      <w:numFmt w:val="bullet"/>
      <w:lvlText w:val=""/>
      <w:lvlJc w:val="left"/>
      <w:pPr>
        <w:ind w:left="4680" w:hanging="360"/>
      </w:pPr>
      <w:rPr>
        <w:rFonts w:ascii="Symbol" w:hAnsi="Symbol" w:hint="default"/>
      </w:rPr>
    </w:lvl>
    <w:lvl w:ilvl="7" w:tplc="014C2EDC" w:tentative="1">
      <w:start w:val="1"/>
      <w:numFmt w:val="bullet"/>
      <w:lvlText w:val="o"/>
      <w:lvlJc w:val="left"/>
      <w:pPr>
        <w:ind w:left="5400" w:hanging="360"/>
      </w:pPr>
      <w:rPr>
        <w:rFonts w:ascii="Courier New" w:hAnsi="Courier New" w:cs="Courier New" w:hint="default"/>
      </w:rPr>
    </w:lvl>
    <w:lvl w:ilvl="8" w:tplc="03CCF5D0" w:tentative="1">
      <w:start w:val="1"/>
      <w:numFmt w:val="bullet"/>
      <w:lvlText w:val=""/>
      <w:lvlJc w:val="left"/>
      <w:pPr>
        <w:ind w:left="6120" w:hanging="360"/>
      </w:pPr>
      <w:rPr>
        <w:rFonts w:ascii="Wingdings" w:hAnsi="Wingdings" w:hint="default"/>
      </w:rPr>
    </w:lvl>
  </w:abstractNum>
  <w:abstractNum w:abstractNumId="13" w15:restartNumberingAfterBreak="0">
    <w:nsid w:val="27E119F4"/>
    <w:multiLevelType w:val="hybridMultilevel"/>
    <w:tmpl w:val="CB08B08A"/>
    <w:lvl w:ilvl="0" w:tplc="1BC0DB8A">
      <w:start w:val="1"/>
      <w:numFmt w:val="bullet"/>
      <w:lvlText w:val=""/>
      <w:lvlJc w:val="left"/>
      <w:pPr>
        <w:ind w:left="720" w:hanging="360"/>
      </w:pPr>
      <w:rPr>
        <w:rFonts w:ascii="Symbol" w:hAnsi="Symbol" w:hint="default"/>
      </w:rPr>
    </w:lvl>
    <w:lvl w:ilvl="1" w:tplc="B7082FB4" w:tentative="1">
      <w:start w:val="1"/>
      <w:numFmt w:val="bullet"/>
      <w:lvlText w:val="o"/>
      <w:lvlJc w:val="left"/>
      <w:pPr>
        <w:ind w:left="1440" w:hanging="360"/>
      </w:pPr>
      <w:rPr>
        <w:rFonts w:ascii="Courier New" w:hAnsi="Courier New" w:cs="Courier New" w:hint="default"/>
      </w:rPr>
    </w:lvl>
    <w:lvl w:ilvl="2" w:tplc="66C63364" w:tentative="1">
      <w:start w:val="1"/>
      <w:numFmt w:val="bullet"/>
      <w:lvlText w:val=""/>
      <w:lvlJc w:val="left"/>
      <w:pPr>
        <w:ind w:left="2160" w:hanging="360"/>
      </w:pPr>
      <w:rPr>
        <w:rFonts w:ascii="Wingdings" w:hAnsi="Wingdings" w:hint="default"/>
      </w:rPr>
    </w:lvl>
    <w:lvl w:ilvl="3" w:tplc="DBF85340" w:tentative="1">
      <w:start w:val="1"/>
      <w:numFmt w:val="bullet"/>
      <w:lvlText w:val=""/>
      <w:lvlJc w:val="left"/>
      <w:pPr>
        <w:ind w:left="2880" w:hanging="360"/>
      </w:pPr>
      <w:rPr>
        <w:rFonts w:ascii="Symbol" w:hAnsi="Symbol" w:hint="default"/>
      </w:rPr>
    </w:lvl>
    <w:lvl w:ilvl="4" w:tplc="101A31E2" w:tentative="1">
      <w:start w:val="1"/>
      <w:numFmt w:val="bullet"/>
      <w:lvlText w:val="o"/>
      <w:lvlJc w:val="left"/>
      <w:pPr>
        <w:ind w:left="3600" w:hanging="360"/>
      </w:pPr>
      <w:rPr>
        <w:rFonts w:ascii="Courier New" w:hAnsi="Courier New" w:cs="Courier New" w:hint="default"/>
      </w:rPr>
    </w:lvl>
    <w:lvl w:ilvl="5" w:tplc="0B08878A" w:tentative="1">
      <w:start w:val="1"/>
      <w:numFmt w:val="bullet"/>
      <w:lvlText w:val=""/>
      <w:lvlJc w:val="left"/>
      <w:pPr>
        <w:ind w:left="4320" w:hanging="360"/>
      </w:pPr>
      <w:rPr>
        <w:rFonts w:ascii="Wingdings" w:hAnsi="Wingdings" w:hint="default"/>
      </w:rPr>
    </w:lvl>
    <w:lvl w:ilvl="6" w:tplc="362A47A4" w:tentative="1">
      <w:start w:val="1"/>
      <w:numFmt w:val="bullet"/>
      <w:lvlText w:val=""/>
      <w:lvlJc w:val="left"/>
      <w:pPr>
        <w:ind w:left="5040" w:hanging="360"/>
      </w:pPr>
      <w:rPr>
        <w:rFonts w:ascii="Symbol" w:hAnsi="Symbol" w:hint="default"/>
      </w:rPr>
    </w:lvl>
    <w:lvl w:ilvl="7" w:tplc="EC868F52" w:tentative="1">
      <w:start w:val="1"/>
      <w:numFmt w:val="bullet"/>
      <w:lvlText w:val="o"/>
      <w:lvlJc w:val="left"/>
      <w:pPr>
        <w:ind w:left="5760" w:hanging="360"/>
      </w:pPr>
      <w:rPr>
        <w:rFonts w:ascii="Courier New" w:hAnsi="Courier New" w:cs="Courier New" w:hint="default"/>
      </w:rPr>
    </w:lvl>
    <w:lvl w:ilvl="8" w:tplc="BBC4C7BA" w:tentative="1">
      <w:start w:val="1"/>
      <w:numFmt w:val="bullet"/>
      <w:lvlText w:val=""/>
      <w:lvlJc w:val="left"/>
      <w:pPr>
        <w:ind w:left="6480" w:hanging="360"/>
      </w:pPr>
      <w:rPr>
        <w:rFonts w:ascii="Wingdings" w:hAnsi="Wingdings" w:hint="default"/>
      </w:rPr>
    </w:lvl>
  </w:abstractNum>
  <w:abstractNum w:abstractNumId="14"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1D6FD4"/>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FAA11FE"/>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7D97958"/>
    <w:multiLevelType w:val="hybridMultilevel"/>
    <w:tmpl w:val="5AD64EFC"/>
    <w:lvl w:ilvl="0" w:tplc="56D82102">
      <w:start w:val="2"/>
      <w:numFmt w:val="bullet"/>
      <w:lvlText w:val="-"/>
      <w:lvlJc w:val="left"/>
      <w:pPr>
        <w:ind w:left="720" w:hanging="360"/>
      </w:pPr>
      <w:rPr>
        <w:rFonts w:ascii="Arial" w:eastAsia="Calibri" w:hAnsi="Arial" w:cs="Arial" w:hint="default"/>
      </w:rPr>
    </w:lvl>
    <w:lvl w:ilvl="1" w:tplc="D46AA054" w:tentative="1">
      <w:start w:val="1"/>
      <w:numFmt w:val="bullet"/>
      <w:lvlText w:val="o"/>
      <w:lvlJc w:val="left"/>
      <w:pPr>
        <w:ind w:left="1440" w:hanging="360"/>
      </w:pPr>
      <w:rPr>
        <w:rFonts w:ascii="Courier New" w:hAnsi="Courier New" w:cs="Courier New" w:hint="default"/>
      </w:rPr>
    </w:lvl>
    <w:lvl w:ilvl="2" w:tplc="3376916A" w:tentative="1">
      <w:start w:val="1"/>
      <w:numFmt w:val="bullet"/>
      <w:lvlText w:val=""/>
      <w:lvlJc w:val="left"/>
      <w:pPr>
        <w:ind w:left="2160" w:hanging="360"/>
      </w:pPr>
      <w:rPr>
        <w:rFonts w:ascii="Wingdings" w:hAnsi="Wingdings" w:hint="default"/>
      </w:rPr>
    </w:lvl>
    <w:lvl w:ilvl="3" w:tplc="04827238" w:tentative="1">
      <w:start w:val="1"/>
      <w:numFmt w:val="bullet"/>
      <w:lvlText w:val=""/>
      <w:lvlJc w:val="left"/>
      <w:pPr>
        <w:ind w:left="2880" w:hanging="360"/>
      </w:pPr>
      <w:rPr>
        <w:rFonts w:ascii="Symbol" w:hAnsi="Symbol" w:hint="default"/>
      </w:rPr>
    </w:lvl>
    <w:lvl w:ilvl="4" w:tplc="52AE550E" w:tentative="1">
      <w:start w:val="1"/>
      <w:numFmt w:val="bullet"/>
      <w:lvlText w:val="o"/>
      <w:lvlJc w:val="left"/>
      <w:pPr>
        <w:ind w:left="3600" w:hanging="360"/>
      </w:pPr>
      <w:rPr>
        <w:rFonts w:ascii="Courier New" w:hAnsi="Courier New" w:cs="Courier New" w:hint="default"/>
      </w:rPr>
    </w:lvl>
    <w:lvl w:ilvl="5" w:tplc="7B7E2A16" w:tentative="1">
      <w:start w:val="1"/>
      <w:numFmt w:val="bullet"/>
      <w:lvlText w:val=""/>
      <w:lvlJc w:val="left"/>
      <w:pPr>
        <w:ind w:left="4320" w:hanging="360"/>
      </w:pPr>
      <w:rPr>
        <w:rFonts w:ascii="Wingdings" w:hAnsi="Wingdings" w:hint="default"/>
      </w:rPr>
    </w:lvl>
    <w:lvl w:ilvl="6" w:tplc="D834CEFA" w:tentative="1">
      <w:start w:val="1"/>
      <w:numFmt w:val="bullet"/>
      <w:lvlText w:val=""/>
      <w:lvlJc w:val="left"/>
      <w:pPr>
        <w:ind w:left="5040" w:hanging="360"/>
      </w:pPr>
      <w:rPr>
        <w:rFonts w:ascii="Symbol" w:hAnsi="Symbol" w:hint="default"/>
      </w:rPr>
    </w:lvl>
    <w:lvl w:ilvl="7" w:tplc="F36C3E56" w:tentative="1">
      <w:start w:val="1"/>
      <w:numFmt w:val="bullet"/>
      <w:lvlText w:val="o"/>
      <w:lvlJc w:val="left"/>
      <w:pPr>
        <w:ind w:left="5760" w:hanging="360"/>
      </w:pPr>
      <w:rPr>
        <w:rFonts w:ascii="Courier New" w:hAnsi="Courier New" w:cs="Courier New" w:hint="default"/>
      </w:rPr>
    </w:lvl>
    <w:lvl w:ilvl="8" w:tplc="EBBE63FE" w:tentative="1">
      <w:start w:val="1"/>
      <w:numFmt w:val="bullet"/>
      <w:lvlText w:val=""/>
      <w:lvlJc w:val="left"/>
      <w:pPr>
        <w:ind w:left="6480" w:hanging="360"/>
      </w:pPr>
      <w:rPr>
        <w:rFonts w:ascii="Wingdings" w:hAnsi="Wingdings" w:hint="default"/>
      </w:rPr>
    </w:lvl>
  </w:abstractNum>
  <w:abstractNum w:abstractNumId="18" w15:restartNumberingAfterBreak="0">
    <w:nsid w:val="6687274D"/>
    <w:multiLevelType w:val="hybridMultilevel"/>
    <w:tmpl w:val="F5F8EBB4"/>
    <w:lvl w:ilvl="0" w:tplc="04070019">
      <w:start w:val="1"/>
      <w:numFmt w:val="lowerLetter"/>
      <w:lvlText w:val="%1."/>
      <w:lvlJc w:val="left"/>
      <w:pPr>
        <w:ind w:left="5322" w:hanging="360"/>
      </w:pPr>
    </w:lvl>
    <w:lvl w:ilvl="1" w:tplc="04070019" w:tentative="1">
      <w:start w:val="1"/>
      <w:numFmt w:val="lowerLetter"/>
      <w:lvlText w:val="%2."/>
      <w:lvlJc w:val="left"/>
      <w:pPr>
        <w:ind w:left="6042" w:hanging="360"/>
      </w:pPr>
    </w:lvl>
    <w:lvl w:ilvl="2" w:tplc="0407001B" w:tentative="1">
      <w:start w:val="1"/>
      <w:numFmt w:val="lowerRoman"/>
      <w:lvlText w:val="%3."/>
      <w:lvlJc w:val="right"/>
      <w:pPr>
        <w:ind w:left="6762" w:hanging="180"/>
      </w:pPr>
    </w:lvl>
    <w:lvl w:ilvl="3" w:tplc="0407000F" w:tentative="1">
      <w:start w:val="1"/>
      <w:numFmt w:val="decimal"/>
      <w:lvlText w:val="%4."/>
      <w:lvlJc w:val="left"/>
      <w:pPr>
        <w:ind w:left="7482" w:hanging="360"/>
      </w:pPr>
    </w:lvl>
    <w:lvl w:ilvl="4" w:tplc="04070019" w:tentative="1">
      <w:start w:val="1"/>
      <w:numFmt w:val="lowerLetter"/>
      <w:lvlText w:val="%5."/>
      <w:lvlJc w:val="left"/>
      <w:pPr>
        <w:ind w:left="8202" w:hanging="360"/>
      </w:pPr>
    </w:lvl>
    <w:lvl w:ilvl="5" w:tplc="0407001B" w:tentative="1">
      <w:start w:val="1"/>
      <w:numFmt w:val="lowerRoman"/>
      <w:lvlText w:val="%6."/>
      <w:lvlJc w:val="right"/>
      <w:pPr>
        <w:ind w:left="8922" w:hanging="180"/>
      </w:pPr>
    </w:lvl>
    <w:lvl w:ilvl="6" w:tplc="0407000F" w:tentative="1">
      <w:start w:val="1"/>
      <w:numFmt w:val="decimal"/>
      <w:lvlText w:val="%7."/>
      <w:lvlJc w:val="left"/>
      <w:pPr>
        <w:ind w:left="9642" w:hanging="360"/>
      </w:pPr>
    </w:lvl>
    <w:lvl w:ilvl="7" w:tplc="04070019" w:tentative="1">
      <w:start w:val="1"/>
      <w:numFmt w:val="lowerLetter"/>
      <w:lvlText w:val="%8."/>
      <w:lvlJc w:val="left"/>
      <w:pPr>
        <w:ind w:left="10362" w:hanging="360"/>
      </w:pPr>
    </w:lvl>
    <w:lvl w:ilvl="8" w:tplc="0407001B" w:tentative="1">
      <w:start w:val="1"/>
      <w:numFmt w:val="lowerRoman"/>
      <w:lvlText w:val="%9."/>
      <w:lvlJc w:val="right"/>
      <w:pPr>
        <w:ind w:left="11082" w:hanging="180"/>
      </w:pPr>
    </w:lvl>
  </w:abstractNum>
  <w:abstractNum w:abstractNumId="19" w15:restartNumberingAfterBreak="0">
    <w:nsid w:val="7EA131AA"/>
    <w:multiLevelType w:val="hybridMultilevel"/>
    <w:tmpl w:val="4A226FEE"/>
    <w:lvl w:ilvl="0" w:tplc="FFFFFFFF">
      <w:start w:val="1"/>
      <w:numFmt w:val="lowerLetter"/>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17207">
    <w:abstractNumId w:val="9"/>
  </w:num>
  <w:num w:numId="2" w16cid:durableId="1850750713">
    <w:abstractNumId w:val="8"/>
  </w:num>
  <w:num w:numId="3" w16cid:durableId="917254296">
    <w:abstractNumId w:val="7"/>
  </w:num>
  <w:num w:numId="4" w16cid:durableId="322438255">
    <w:abstractNumId w:val="6"/>
  </w:num>
  <w:num w:numId="5" w16cid:durableId="99300327">
    <w:abstractNumId w:val="5"/>
  </w:num>
  <w:num w:numId="6" w16cid:durableId="771437988">
    <w:abstractNumId w:val="4"/>
  </w:num>
  <w:num w:numId="7" w16cid:durableId="2034645485">
    <w:abstractNumId w:val="3"/>
  </w:num>
  <w:num w:numId="8" w16cid:durableId="202715336">
    <w:abstractNumId w:val="2"/>
  </w:num>
  <w:num w:numId="9" w16cid:durableId="1746488654">
    <w:abstractNumId w:val="1"/>
  </w:num>
  <w:num w:numId="10" w16cid:durableId="653148158">
    <w:abstractNumId w:val="0"/>
  </w:num>
  <w:num w:numId="11" w16cid:durableId="97606071">
    <w:abstractNumId w:val="13"/>
  </w:num>
  <w:num w:numId="12" w16cid:durableId="1701012795">
    <w:abstractNumId w:val="12"/>
  </w:num>
  <w:num w:numId="13" w16cid:durableId="938947551">
    <w:abstractNumId w:val="17"/>
  </w:num>
  <w:num w:numId="14" w16cid:durableId="1340346856">
    <w:abstractNumId w:val="14"/>
  </w:num>
  <w:num w:numId="15" w16cid:durableId="1340693805">
    <w:abstractNumId w:val="15"/>
  </w:num>
  <w:num w:numId="16" w16cid:durableId="1940603098">
    <w:abstractNumId w:val="16"/>
  </w:num>
  <w:num w:numId="17" w16cid:durableId="929698726">
    <w:abstractNumId w:val="18"/>
  </w:num>
  <w:num w:numId="18" w16cid:durableId="666253736">
    <w:abstractNumId w:val="11"/>
  </w:num>
  <w:num w:numId="19" w16cid:durableId="1786381738">
    <w:abstractNumId w:val="10"/>
  </w:num>
  <w:num w:numId="20" w16cid:durableId="783958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361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40"/>
    <w:rsid w:val="00002E8B"/>
    <w:rsid w:val="00016ED1"/>
    <w:rsid w:val="00020970"/>
    <w:rsid w:val="000235C1"/>
    <w:rsid w:val="00025A72"/>
    <w:rsid w:val="00026FA8"/>
    <w:rsid w:val="000425F4"/>
    <w:rsid w:val="00045E69"/>
    <w:rsid w:val="000618AF"/>
    <w:rsid w:val="0007383C"/>
    <w:rsid w:val="0008185E"/>
    <w:rsid w:val="000944C6"/>
    <w:rsid w:val="000974E2"/>
    <w:rsid w:val="000A5522"/>
    <w:rsid w:val="000A7DEA"/>
    <w:rsid w:val="000B0E96"/>
    <w:rsid w:val="000D006F"/>
    <w:rsid w:val="000D0C6C"/>
    <w:rsid w:val="000D6794"/>
    <w:rsid w:val="000E2487"/>
    <w:rsid w:val="001002D6"/>
    <w:rsid w:val="001034E7"/>
    <w:rsid w:val="00110C1D"/>
    <w:rsid w:val="001126B3"/>
    <w:rsid w:val="00125BE6"/>
    <w:rsid w:val="0012610F"/>
    <w:rsid w:val="00153719"/>
    <w:rsid w:val="00172339"/>
    <w:rsid w:val="0018022C"/>
    <w:rsid w:val="00181CA4"/>
    <w:rsid w:val="001842C5"/>
    <w:rsid w:val="001844CC"/>
    <w:rsid w:val="00184EAF"/>
    <w:rsid w:val="00186F71"/>
    <w:rsid w:val="00195035"/>
    <w:rsid w:val="00195568"/>
    <w:rsid w:val="001A4E87"/>
    <w:rsid w:val="001B7750"/>
    <w:rsid w:val="001C6F6A"/>
    <w:rsid w:val="001F45AB"/>
    <w:rsid w:val="001F4E22"/>
    <w:rsid w:val="00214DB0"/>
    <w:rsid w:val="00215941"/>
    <w:rsid w:val="00217CB1"/>
    <w:rsid w:val="0023206C"/>
    <w:rsid w:val="002340A1"/>
    <w:rsid w:val="00236929"/>
    <w:rsid w:val="002439F3"/>
    <w:rsid w:val="002631B9"/>
    <w:rsid w:val="00266CDF"/>
    <w:rsid w:val="00270FD8"/>
    <w:rsid w:val="002842A8"/>
    <w:rsid w:val="002953DB"/>
    <w:rsid w:val="00295E39"/>
    <w:rsid w:val="00296544"/>
    <w:rsid w:val="00296C53"/>
    <w:rsid w:val="002A4DA7"/>
    <w:rsid w:val="002B14F5"/>
    <w:rsid w:val="002B6BF5"/>
    <w:rsid w:val="002D1F10"/>
    <w:rsid w:val="002D2C49"/>
    <w:rsid w:val="002D365C"/>
    <w:rsid w:val="002F2E3A"/>
    <w:rsid w:val="002F3233"/>
    <w:rsid w:val="002F39A5"/>
    <w:rsid w:val="0031349C"/>
    <w:rsid w:val="00320E2E"/>
    <w:rsid w:val="00333C05"/>
    <w:rsid w:val="00347E2F"/>
    <w:rsid w:val="00352741"/>
    <w:rsid w:val="003531C2"/>
    <w:rsid w:val="00366DC8"/>
    <w:rsid w:val="00371014"/>
    <w:rsid w:val="00377A1C"/>
    <w:rsid w:val="00384AD9"/>
    <w:rsid w:val="003A7629"/>
    <w:rsid w:val="003C3D92"/>
    <w:rsid w:val="003D1CD6"/>
    <w:rsid w:val="003D5762"/>
    <w:rsid w:val="003E3E03"/>
    <w:rsid w:val="003F1856"/>
    <w:rsid w:val="00403E20"/>
    <w:rsid w:val="00405EF7"/>
    <w:rsid w:val="0041182E"/>
    <w:rsid w:val="00414F5E"/>
    <w:rsid w:val="00420452"/>
    <w:rsid w:val="0042593F"/>
    <w:rsid w:val="0043077F"/>
    <w:rsid w:val="00435150"/>
    <w:rsid w:val="004427AD"/>
    <w:rsid w:val="00453729"/>
    <w:rsid w:val="00463DEC"/>
    <w:rsid w:val="004710DB"/>
    <w:rsid w:val="004743AB"/>
    <w:rsid w:val="0048481C"/>
    <w:rsid w:val="00491FAD"/>
    <w:rsid w:val="004C6F75"/>
    <w:rsid w:val="004D1C53"/>
    <w:rsid w:val="004D59DF"/>
    <w:rsid w:val="004E0E16"/>
    <w:rsid w:val="004F018A"/>
    <w:rsid w:val="004F2F40"/>
    <w:rsid w:val="00503A9A"/>
    <w:rsid w:val="0051768E"/>
    <w:rsid w:val="005274A8"/>
    <w:rsid w:val="00545EE8"/>
    <w:rsid w:val="00545FB9"/>
    <w:rsid w:val="00550AC9"/>
    <w:rsid w:val="00560AA2"/>
    <w:rsid w:val="00561CD1"/>
    <w:rsid w:val="00570D2A"/>
    <w:rsid w:val="00587C6E"/>
    <w:rsid w:val="005958CE"/>
    <w:rsid w:val="0059603E"/>
    <w:rsid w:val="005A268E"/>
    <w:rsid w:val="005A4812"/>
    <w:rsid w:val="005B36A1"/>
    <w:rsid w:val="005C243B"/>
    <w:rsid w:val="005C68AF"/>
    <w:rsid w:val="005D106C"/>
    <w:rsid w:val="005E3DCA"/>
    <w:rsid w:val="005E7160"/>
    <w:rsid w:val="005F1197"/>
    <w:rsid w:val="00601D45"/>
    <w:rsid w:val="00604077"/>
    <w:rsid w:val="00607196"/>
    <w:rsid w:val="006168BE"/>
    <w:rsid w:val="00630526"/>
    <w:rsid w:val="006336AB"/>
    <w:rsid w:val="006362A1"/>
    <w:rsid w:val="006374EF"/>
    <w:rsid w:val="00644FAA"/>
    <w:rsid w:val="006544CC"/>
    <w:rsid w:val="00661A4F"/>
    <w:rsid w:val="00664E0B"/>
    <w:rsid w:val="006722B0"/>
    <w:rsid w:val="006A1B87"/>
    <w:rsid w:val="006A6E6C"/>
    <w:rsid w:val="006B6E9A"/>
    <w:rsid w:val="006B7EC3"/>
    <w:rsid w:val="006D6B6B"/>
    <w:rsid w:val="006D70C9"/>
    <w:rsid w:val="006E0CF3"/>
    <w:rsid w:val="006F398C"/>
    <w:rsid w:val="006F4312"/>
    <w:rsid w:val="00706C78"/>
    <w:rsid w:val="00714C90"/>
    <w:rsid w:val="00717481"/>
    <w:rsid w:val="0072060D"/>
    <w:rsid w:val="007361F1"/>
    <w:rsid w:val="00737A61"/>
    <w:rsid w:val="0074125E"/>
    <w:rsid w:val="007511EF"/>
    <w:rsid w:val="0076265A"/>
    <w:rsid w:val="007711E1"/>
    <w:rsid w:val="00787931"/>
    <w:rsid w:val="007A5D8B"/>
    <w:rsid w:val="007C1462"/>
    <w:rsid w:val="007C48C1"/>
    <w:rsid w:val="007C4CBC"/>
    <w:rsid w:val="007D1DDD"/>
    <w:rsid w:val="007D53F9"/>
    <w:rsid w:val="007D6AB1"/>
    <w:rsid w:val="007E6C64"/>
    <w:rsid w:val="007F5528"/>
    <w:rsid w:val="007F5BCF"/>
    <w:rsid w:val="00802EA9"/>
    <w:rsid w:val="00807426"/>
    <w:rsid w:val="00807993"/>
    <w:rsid w:val="00811462"/>
    <w:rsid w:val="00813B1C"/>
    <w:rsid w:val="00850A48"/>
    <w:rsid w:val="00850E8C"/>
    <w:rsid w:val="00864507"/>
    <w:rsid w:val="008676BC"/>
    <w:rsid w:val="008727AF"/>
    <w:rsid w:val="00877964"/>
    <w:rsid w:val="008B56A2"/>
    <w:rsid w:val="008C7154"/>
    <w:rsid w:val="008D1F06"/>
    <w:rsid w:val="008D4043"/>
    <w:rsid w:val="008D5C8A"/>
    <w:rsid w:val="008D63D3"/>
    <w:rsid w:val="008F1A11"/>
    <w:rsid w:val="008F2E20"/>
    <w:rsid w:val="00906778"/>
    <w:rsid w:val="00911036"/>
    <w:rsid w:val="009135EC"/>
    <w:rsid w:val="009236E1"/>
    <w:rsid w:val="0092651C"/>
    <w:rsid w:val="00940A9A"/>
    <w:rsid w:val="00953E2A"/>
    <w:rsid w:val="009627F3"/>
    <w:rsid w:val="00963C64"/>
    <w:rsid w:val="0096502E"/>
    <w:rsid w:val="00966744"/>
    <w:rsid w:val="009708D3"/>
    <w:rsid w:val="00972897"/>
    <w:rsid w:val="009803DA"/>
    <w:rsid w:val="00987DE1"/>
    <w:rsid w:val="00990168"/>
    <w:rsid w:val="0099067E"/>
    <w:rsid w:val="00991AF1"/>
    <w:rsid w:val="009B2514"/>
    <w:rsid w:val="009B35AA"/>
    <w:rsid w:val="009C6CD2"/>
    <w:rsid w:val="009D3954"/>
    <w:rsid w:val="009F4831"/>
    <w:rsid w:val="00A00E01"/>
    <w:rsid w:val="00A03EA9"/>
    <w:rsid w:val="00A0650B"/>
    <w:rsid w:val="00A41541"/>
    <w:rsid w:val="00A42DF3"/>
    <w:rsid w:val="00A455C0"/>
    <w:rsid w:val="00A52DD4"/>
    <w:rsid w:val="00A53A4E"/>
    <w:rsid w:val="00A547A5"/>
    <w:rsid w:val="00A57492"/>
    <w:rsid w:val="00A6689F"/>
    <w:rsid w:val="00A87080"/>
    <w:rsid w:val="00A92FA1"/>
    <w:rsid w:val="00A97650"/>
    <w:rsid w:val="00AC54D9"/>
    <w:rsid w:val="00AC5B0A"/>
    <w:rsid w:val="00AE5F16"/>
    <w:rsid w:val="00B10D22"/>
    <w:rsid w:val="00B134B6"/>
    <w:rsid w:val="00B256DF"/>
    <w:rsid w:val="00B26FCA"/>
    <w:rsid w:val="00B35792"/>
    <w:rsid w:val="00B359E9"/>
    <w:rsid w:val="00B51056"/>
    <w:rsid w:val="00B52624"/>
    <w:rsid w:val="00B5668F"/>
    <w:rsid w:val="00B62002"/>
    <w:rsid w:val="00B625E5"/>
    <w:rsid w:val="00B814DA"/>
    <w:rsid w:val="00B8228A"/>
    <w:rsid w:val="00B84D99"/>
    <w:rsid w:val="00B965B0"/>
    <w:rsid w:val="00BD0A66"/>
    <w:rsid w:val="00BD1922"/>
    <w:rsid w:val="00BD21FC"/>
    <w:rsid w:val="00BE3E17"/>
    <w:rsid w:val="00BE4796"/>
    <w:rsid w:val="00BF1DA9"/>
    <w:rsid w:val="00C01E72"/>
    <w:rsid w:val="00C06982"/>
    <w:rsid w:val="00C126B5"/>
    <w:rsid w:val="00C136DB"/>
    <w:rsid w:val="00C13B82"/>
    <w:rsid w:val="00C50683"/>
    <w:rsid w:val="00C6139B"/>
    <w:rsid w:val="00C625F6"/>
    <w:rsid w:val="00C80D62"/>
    <w:rsid w:val="00C861CE"/>
    <w:rsid w:val="00C87E12"/>
    <w:rsid w:val="00CA18FB"/>
    <w:rsid w:val="00CB0E7B"/>
    <w:rsid w:val="00CC2EF4"/>
    <w:rsid w:val="00CC7B4E"/>
    <w:rsid w:val="00CE4343"/>
    <w:rsid w:val="00CF60EA"/>
    <w:rsid w:val="00D01E48"/>
    <w:rsid w:val="00D151F5"/>
    <w:rsid w:val="00D3679B"/>
    <w:rsid w:val="00D46739"/>
    <w:rsid w:val="00D51967"/>
    <w:rsid w:val="00D51C3F"/>
    <w:rsid w:val="00D627F8"/>
    <w:rsid w:val="00D73948"/>
    <w:rsid w:val="00D75AFF"/>
    <w:rsid w:val="00D76995"/>
    <w:rsid w:val="00D8544C"/>
    <w:rsid w:val="00D901CB"/>
    <w:rsid w:val="00D97211"/>
    <w:rsid w:val="00DA1723"/>
    <w:rsid w:val="00DD2914"/>
    <w:rsid w:val="00DD3399"/>
    <w:rsid w:val="00DE3D18"/>
    <w:rsid w:val="00DF01F2"/>
    <w:rsid w:val="00DF27BA"/>
    <w:rsid w:val="00E036A0"/>
    <w:rsid w:val="00E05518"/>
    <w:rsid w:val="00E05BEF"/>
    <w:rsid w:val="00E14465"/>
    <w:rsid w:val="00E15266"/>
    <w:rsid w:val="00E26D5E"/>
    <w:rsid w:val="00E31686"/>
    <w:rsid w:val="00E361E2"/>
    <w:rsid w:val="00E47B12"/>
    <w:rsid w:val="00E603C6"/>
    <w:rsid w:val="00E6189F"/>
    <w:rsid w:val="00E61B2F"/>
    <w:rsid w:val="00E66850"/>
    <w:rsid w:val="00E67254"/>
    <w:rsid w:val="00E7178F"/>
    <w:rsid w:val="00E90870"/>
    <w:rsid w:val="00E9608B"/>
    <w:rsid w:val="00E96714"/>
    <w:rsid w:val="00EB3371"/>
    <w:rsid w:val="00EC14E9"/>
    <w:rsid w:val="00EC3DDF"/>
    <w:rsid w:val="00EE1773"/>
    <w:rsid w:val="00EE1D93"/>
    <w:rsid w:val="00EE36CD"/>
    <w:rsid w:val="00F06478"/>
    <w:rsid w:val="00F0760A"/>
    <w:rsid w:val="00F17936"/>
    <w:rsid w:val="00F23EFC"/>
    <w:rsid w:val="00F264B4"/>
    <w:rsid w:val="00F308FE"/>
    <w:rsid w:val="00F3331E"/>
    <w:rsid w:val="00F3686D"/>
    <w:rsid w:val="00F56106"/>
    <w:rsid w:val="00F67B6F"/>
    <w:rsid w:val="00F67D7C"/>
    <w:rsid w:val="00F71C4A"/>
    <w:rsid w:val="00F7229D"/>
    <w:rsid w:val="00F72691"/>
    <w:rsid w:val="00F84E77"/>
    <w:rsid w:val="00FC2D05"/>
    <w:rsid w:val="00FD4817"/>
    <w:rsid w:val="00FF14CB"/>
    <w:rsid w:val="2D4857F1"/>
    <w:rsid w:val="35AE2F23"/>
    <w:rsid w:val="39E7A681"/>
    <w:rsid w:val="5BDAC3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DA62"/>
  <w15:docId w15:val="{ABEE8AF6-1CFF-4A4F-8557-47038B8C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93"/>
    <w:rPr>
      <w:rFonts w:ascii="Arial" w:hAnsi="Arial"/>
      <w:sz w:val="22"/>
      <w:szCs w:val="22"/>
      <w:lang w:val="en-US" w:eastAsia="en-US"/>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imes New Roman" w:cs="Times New Roman"/>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 w:val="20"/>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E00A39"/>
    <w:rPr>
      <w:rFonts w:ascii="Arial" w:eastAsia="Times New Roman" w:hAnsi="Arial" w:cs="Times New Roman"/>
      <w:b/>
      <w:bCs/>
      <w:sz w:val="28"/>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paragraph" w:styleId="Listenabsatz">
    <w:name w:val="List Paragraph"/>
    <w:basedOn w:val="Standard"/>
    <w:uiPriority w:val="34"/>
    <w:qFormat/>
    <w:rsid w:val="008E76A0"/>
    <w:pPr>
      <w:ind w:left="720"/>
      <w:contextualSpacing/>
    </w:pPr>
  </w:style>
  <w:style w:type="character" w:styleId="Kommentarzeichen">
    <w:name w:val="annotation reference"/>
    <w:uiPriority w:val="99"/>
    <w:semiHidden/>
    <w:unhideWhenUsed/>
    <w:rsid w:val="00D76866"/>
    <w:rPr>
      <w:sz w:val="16"/>
      <w:szCs w:val="16"/>
      <w:lang w:val="en-US" w:eastAsia="en-US"/>
    </w:rPr>
  </w:style>
  <w:style w:type="paragraph" w:styleId="Kommentartext">
    <w:name w:val="annotation text"/>
    <w:basedOn w:val="Standard"/>
    <w:link w:val="KommentartextZchn"/>
    <w:uiPriority w:val="99"/>
    <w:unhideWhenUsed/>
    <w:rsid w:val="00D76866"/>
    <w:rPr>
      <w:rFonts w:cs="Times New Roman"/>
      <w:sz w:val="20"/>
      <w:szCs w:val="20"/>
    </w:rPr>
  </w:style>
  <w:style w:type="character" w:customStyle="1" w:styleId="KommentartextZchn">
    <w:name w:val="Kommentartext Zchn"/>
    <w:link w:val="Kommentartext"/>
    <w:uiPriority w:val="99"/>
    <w:rsid w:val="00D7686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link w:val="Kommentarthema"/>
    <w:uiPriority w:val="99"/>
    <w:semiHidden/>
    <w:rsid w:val="00D76866"/>
    <w:rPr>
      <w:rFonts w:ascii="Arial" w:hAnsi="Arial"/>
      <w:b/>
      <w:bCs/>
      <w:sz w:val="20"/>
      <w:szCs w:val="20"/>
      <w:lang w:val="en-US" w:eastAsia="en-US"/>
    </w:rPr>
  </w:style>
  <w:style w:type="character" w:styleId="Hyperlink">
    <w:name w:val="Hyperlink"/>
    <w:uiPriority w:val="99"/>
    <w:unhideWhenUsed/>
    <w:rsid w:val="002677C1"/>
    <w:rPr>
      <w:color w:val="0000FF"/>
      <w:u w:val="single"/>
      <w:lang w:val="en-US" w:eastAsia="en-US"/>
    </w:rPr>
  </w:style>
  <w:style w:type="character" w:styleId="BesuchterLink">
    <w:name w:val="FollowedHyperlink"/>
    <w:basedOn w:val="Absatz-Standardschriftart"/>
    <w:uiPriority w:val="99"/>
    <w:semiHidden/>
    <w:unhideWhenUsed/>
    <w:rsid w:val="00266CDF"/>
    <w:rPr>
      <w:color w:val="954F72" w:themeColor="followedHyperlink"/>
      <w:u w:val="single"/>
    </w:rPr>
  </w:style>
  <w:style w:type="character" w:styleId="Funotenzeichen">
    <w:name w:val="footnote reference"/>
    <w:uiPriority w:val="99"/>
    <w:semiHidden/>
    <w:unhideWhenUsed/>
    <w:rsid w:val="00C126B5"/>
    <w:rPr>
      <w:vertAlign w:val="superscript"/>
    </w:rPr>
  </w:style>
  <w:style w:type="paragraph" w:styleId="Funotentext">
    <w:name w:val="footnote text"/>
    <w:basedOn w:val="Standard"/>
    <w:link w:val="FunotentextZchn"/>
    <w:uiPriority w:val="99"/>
    <w:semiHidden/>
    <w:unhideWhenUsed/>
    <w:rsid w:val="00C126B5"/>
    <w:rPr>
      <w:rFonts w:eastAsiaTheme="minorHAnsi" w:cstheme="minorBidi"/>
      <w:sz w:val="20"/>
      <w:szCs w:val="20"/>
      <w:lang w:val="en-GB"/>
    </w:rPr>
  </w:style>
  <w:style w:type="character" w:customStyle="1" w:styleId="FunotentextZchn">
    <w:name w:val="Fußnotentext Zchn"/>
    <w:basedOn w:val="Absatz-Standardschriftart"/>
    <w:link w:val="Funotentext"/>
    <w:uiPriority w:val="99"/>
    <w:semiHidden/>
    <w:rsid w:val="00C126B5"/>
    <w:rPr>
      <w:rFonts w:ascii="Arial" w:eastAsiaTheme="minorHAnsi" w:hAnsi="Arial" w:cstheme="minorBidi"/>
      <w:lang w:val="en-GB" w:eastAsia="en-US"/>
    </w:rPr>
  </w:style>
  <w:style w:type="paragraph" w:styleId="berarbeitung">
    <w:name w:val="Revision"/>
    <w:hidden/>
    <w:uiPriority w:val="99"/>
    <w:semiHidden/>
    <w:rsid w:val="002B6BF5"/>
    <w:rPr>
      <w:rFonts w:ascii="Arial" w:hAnsi="Arial"/>
      <w:sz w:val="22"/>
      <w:szCs w:val="22"/>
      <w:lang w:val="en-US" w:eastAsia="en-US"/>
    </w:rPr>
  </w:style>
  <w:style w:type="character" w:customStyle="1" w:styleId="ui-provider">
    <w:name w:val="ui-provider"/>
    <w:basedOn w:val="Absatz-Standardschriftart"/>
    <w:rsid w:val="00E0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316">
      <w:bodyDiv w:val="1"/>
      <w:marLeft w:val="0"/>
      <w:marRight w:val="0"/>
      <w:marTop w:val="0"/>
      <w:marBottom w:val="0"/>
      <w:divBdr>
        <w:top w:val="none" w:sz="0" w:space="0" w:color="auto"/>
        <w:left w:val="none" w:sz="0" w:space="0" w:color="auto"/>
        <w:bottom w:val="none" w:sz="0" w:space="0" w:color="auto"/>
        <w:right w:val="none" w:sz="0" w:space="0" w:color="auto"/>
      </w:divBdr>
    </w:div>
    <w:div w:id="649679468">
      <w:bodyDiv w:val="1"/>
      <w:marLeft w:val="0"/>
      <w:marRight w:val="0"/>
      <w:marTop w:val="0"/>
      <w:marBottom w:val="0"/>
      <w:divBdr>
        <w:top w:val="none" w:sz="0" w:space="0" w:color="auto"/>
        <w:left w:val="none" w:sz="0" w:space="0" w:color="auto"/>
        <w:bottom w:val="none" w:sz="0" w:space="0" w:color="auto"/>
        <w:right w:val="none" w:sz="0" w:space="0" w:color="auto"/>
      </w:divBdr>
    </w:div>
    <w:div w:id="8274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partner/contractor/suppli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_DE@giz.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13DC0-ABFB-4B64-B851-17868503B3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40D6F2-ADF0-44F1-8C40-2FF78DB9C920}">
  <ds:schemaRefs>
    <ds:schemaRef ds:uri="http://schemas.openxmlformats.org/officeDocument/2006/bibliography"/>
  </ds:schemaRefs>
</ds:datastoreItem>
</file>

<file path=customXml/itemProps3.xml><?xml version="1.0" encoding="utf-8"?>
<ds:datastoreItem xmlns:ds="http://schemas.openxmlformats.org/officeDocument/2006/customXml" ds:itemID="{A4EAC2AA-DD62-4AD8-A310-0C64FD44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64D4E-D847-4A39-A810-8EB51861FD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1477</Words>
  <Characters>9310</Characters>
  <Application>Microsoft Office Word</Application>
  <DocSecurity>4</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10766</CharactersWithSpaces>
  <SharedDoc>false</SharedDoc>
  <HLinks>
    <vt:vector size="6" baseType="variant">
      <vt:variant>
        <vt:i4>7012404</vt:i4>
      </vt:variant>
      <vt:variant>
        <vt:i4>9</vt:i4>
      </vt:variant>
      <vt:variant>
        <vt:i4>0</vt:i4>
      </vt:variant>
      <vt:variant>
        <vt:i4>5</vt:i4>
      </vt:variant>
      <vt:variant>
        <vt:lpwstr>https://www.giz.de/de/downloads/giz2014-de-schreiben-sichere-luftfracht.pdf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Hower</dc:creator>
  <cp:lastModifiedBy>Shan, Kefei GIZ</cp:lastModifiedBy>
  <cp:revision>2</cp:revision>
  <cp:lastPrinted>2020-11-18T15:15:00Z</cp:lastPrinted>
  <dcterms:created xsi:type="dcterms:W3CDTF">2026-05-19T09:10:00Z</dcterms:created>
  <dcterms:modified xsi:type="dcterms:W3CDTF">2026-05-19T09:10:00Z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